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</w:rPr>
      </w:pPr>
      <w:r>
        <w:rPr>
          <w:b/>
        </w:rPr>
        <w:t xml:space="preserve">Техническое задание </w:t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</w:t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ОКПД2 43.34.10.140 Выполнение работ по восстановлению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лакокрасочного покрытия металлических поверхностей решетчатой конструкции защитного ограждения щитового отделения нижнего бьефа вдоль автодороги Саратовской ГЭС</w:t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для нужд Саратовского филиала</w:t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left="-709" w:hanging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ЛОТ </w:t>
      </w:r>
      <w:r>
        <w:rPr>
          <w:b/>
          <w:sz w:val="24"/>
          <w:szCs w:val="24"/>
          <w:u w:val="single"/>
        </w:rPr>
        <w:t>___________________________________</w:t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spacing w:lineRule="auto" w:line="240"/>
        <w:ind w:hanging="0"/>
        <w:jc w:val="center"/>
        <w:rPr>
          <w:sz w:val="22"/>
          <w:szCs w:val="22"/>
        </w:rPr>
      </w:pPr>
      <w:r>
        <w:rPr>
          <w:sz w:val="22"/>
          <w:szCs w:val="22"/>
        </w:rPr>
        <w:t>г. Балаково</w:t>
      </w:r>
    </w:p>
    <w:p>
      <w:pPr>
        <w:pStyle w:val="Normal"/>
        <w:spacing w:lineRule="auto" w:line="240"/>
        <w:ind w:hanging="0"/>
        <w:jc w:val="center"/>
        <w:rPr>
          <w:sz w:val="22"/>
          <w:szCs w:val="22"/>
        </w:rPr>
      </w:pPr>
      <w:r>
        <w:rPr>
          <w:sz w:val="22"/>
          <w:szCs w:val="22"/>
        </w:rPr>
        <w:t>2026г</w:t>
      </w:r>
    </w:p>
    <w:p>
      <w:pPr>
        <w:pStyle w:val="Normal"/>
        <w:spacing w:lineRule="auto" w:line="240"/>
        <w:ind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>
        <w:rPr/>
        <w:t xml:space="preserve"> </w:t>
      </w:r>
      <w:r>
        <w:rPr>
          <w:b/>
          <w:sz w:val="24"/>
          <w:szCs w:val="24"/>
        </w:rPr>
        <w:t>Общие сведения</w:t>
      </w:r>
    </w:p>
    <w:p>
      <w:pPr>
        <w:pStyle w:val="Normal"/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  <w:t>1.1 Обозначения и сокращения</w:t>
      </w:r>
    </w:p>
    <w:tbl>
      <w:tblPr>
        <w:tblW w:w="1048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240"/>
        <w:gridCol w:w="8244"/>
      </w:tblGrid>
      <w:tr>
        <w:trPr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120" w:after="0"/>
              <w:ind w:hanging="0"/>
              <w:jc w:val="left"/>
              <w:rPr>
                <w:sz w:val="24"/>
                <w:szCs w:val="24"/>
                <w:shd w:fill="FFFFFF" w:val="clear"/>
                <w:lang w:val="en-US"/>
              </w:rPr>
            </w:pPr>
            <w:r>
              <w:rPr>
                <w:sz w:val="24"/>
                <w:szCs w:val="24"/>
                <w:shd w:fill="FFFFFF" w:val="clear"/>
                <w:lang w:val="en-US"/>
              </w:rPr>
              <w:t>Заказчик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58" w:hanging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АО «Гидроремонт-ВКК», 603140, Нижегородская область, г.о. город Нижний Новгород, г. Нижний Новгород, пер. Мотальный, д. 8, помещ. ВП 31, офис С1А., </w:t>
            </w:r>
            <w:r>
              <w:rPr>
                <w:iCs/>
                <w:sz w:val="24"/>
                <w:szCs w:val="24"/>
                <w:shd w:fill="FFFFFF" w:val="clear"/>
              </w:rPr>
              <w:t>Саратовский филиал АО «Гидроремонт-ВКК» в г. Балаково, 413840, Саратовская обл., г. Балаково.</w:t>
            </w:r>
          </w:p>
        </w:tc>
      </w:tr>
      <w:tr>
        <w:trPr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120" w:after="0"/>
              <w:ind w:left="27" w:hanging="0"/>
              <w:jc w:val="left"/>
              <w:rPr>
                <w:sz w:val="24"/>
                <w:szCs w:val="24"/>
                <w:shd w:fill="FFFFFF" w:val="clear"/>
                <w:lang w:val="en-US"/>
              </w:rPr>
            </w:pPr>
            <w:r>
              <w:rPr>
                <w:sz w:val="24"/>
                <w:szCs w:val="24"/>
                <w:shd w:fill="FFFFFF" w:val="clear"/>
                <w:lang w:val="en-US"/>
              </w:rPr>
              <w:t>Подрядчик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58" w:hanging="0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</w:rPr>
              <w:t>Подрядная организация, привлекаемая Заказчиком на договорных началах для выполнения работ</w:t>
            </w:r>
          </w:p>
        </w:tc>
      </w:tr>
      <w:tr>
        <w:trPr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120" w:after="0"/>
              <w:ind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en-US"/>
              </w:rPr>
              <w:t>Саратовская ГЭС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lang w:val="en-US"/>
              </w:rPr>
              <w:t>Саратовская гидроэлектростанция</w:t>
            </w:r>
          </w:p>
        </w:tc>
      </w:tr>
      <w:tr>
        <w:trPr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120" w:after="0"/>
              <w:ind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ТЗ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Техническ</w:t>
            </w:r>
            <w:r>
              <w:rPr>
                <w:iCs/>
                <w:sz w:val="24"/>
                <w:szCs w:val="24"/>
                <w:shd w:fill="FFFFFF" w:val="clear"/>
                <w:lang w:val="en-US"/>
              </w:rPr>
              <w:t>ое задание</w:t>
            </w:r>
          </w:p>
        </w:tc>
      </w:tr>
      <w:tr>
        <w:trPr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120" w:after="0"/>
              <w:ind w:hanging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lang w:val="en-US"/>
              </w:rPr>
              <w:t>ИТСФЗ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lang w:val="en-US"/>
              </w:rPr>
              <w:t>Инженерно-технические средства защиты</w:t>
            </w:r>
          </w:p>
        </w:tc>
      </w:tr>
      <w:tr>
        <w:trPr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120" w:after="0"/>
              <w:ind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СИТСЗ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Системы инженерно-технических средств защиты </w:t>
            </w:r>
          </w:p>
        </w:tc>
      </w:tr>
      <w:tr>
        <w:trPr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120" w:after="0"/>
              <w:ind w:hanging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ЛБ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Левый берег</w:t>
            </w:r>
          </w:p>
        </w:tc>
      </w:tr>
      <w:tr>
        <w:trPr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120" w:after="0"/>
              <w:ind w:hanging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ПБ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Правый берег</w:t>
            </w:r>
          </w:p>
        </w:tc>
      </w:tr>
      <w:tr>
        <w:trPr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120" w:after="0"/>
              <w:ind w:hanging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  <w:lang w:val="en-US"/>
              </w:rPr>
              <w:t>ВБ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Верхний бьеф</w:t>
            </w:r>
          </w:p>
        </w:tc>
      </w:tr>
      <w:tr>
        <w:trPr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120" w:after="0"/>
              <w:ind w:hanging="0"/>
              <w:jc w:val="left"/>
              <w:rPr>
                <w:iCs/>
                <w:sz w:val="24"/>
                <w:szCs w:val="24"/>
                <w:shd w:fill="FFFFFF" w:val="clear"/>
                <w:lang w:val="en-US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НБ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Нижний бьеф</w:t>
            </w:r>
          </w:p>
        </w:tc>
      </w:tr>
      <w:tr>
        <w:trPr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120" w:after="0"/>
              <w:ind w:hanging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lang w:val="en-US"/>
              </w:rPr>
              <w:t>АКП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lang w:val="en-US"/>
              </w:rPr>
              <w:t>Антикоррозийное покрытие</w:t>
            </w:r>
          </w:p>
        </w:tc>
      </w:tr>
      <w:tr>
        <w:trPr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120" w:after="0"/>
              <w:ind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ЛКП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Лакокрассочное покрытие</w:t>
            </w:r>
          </w:p>
        </w:tc>
      </w:tr>
      <w:tr>
        <w:trPr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ЛКМ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Лакокрасочный материал</w:t>
            </w:r>
          </w:p>
        </w:tc>
      </w:tr>
      <w:tr>
        <w:trPr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ГОСТ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Государственный стандарт</w:t>
            </w:r>
          </w:p>
        </w:tc>
      </w:tr>
      <w:tr>
        <w:trPr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СНиП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Строительные нормы и правила</w:t>
            </w:r>
          </w:p>
        </w:tc>
      </w:tr>
      <w:tr>
        <w:trPr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СП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Свод правил</w:t>
            </w:r>
          </w:p>
        </w:tc>
      </w:tr>
      <w:tr>
        <w:trPr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120" w:after="0"/>
              <w:ind w:hanging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СТО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СИЗОД 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индивидуальной защиты органов дыхания</w:t>
            </w:r>
          </w:p>
        </w:tc>
      </w:tr>
      <w:tr>
        <w:trPr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СИЗ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индивидуальной защиты</w:t>
            </w:r>
          </w:p>
        </w:tc>
      </w:tr>
      <w:tr>
        <w:trPr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ТУ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условия</w:t>
            </w:r>
          </w:p>
        </w:tc>
      </w:tr>
      <w:tr>
        <w:trPr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ТР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решение</w:t>
            </w:r>
          </w:p>
        </w:tc>
      </w:tr>
      <w:tr>
        <w:trPr>
          <w:trHeight w:val="60" w:hRule="atLeast"/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shd w:fill="FFFFFF" w:val="clear"/>
                <w:lang w:val="en-US"/>
              </w:rPr>
              <w:t>НТД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Нормативно-технический документ</w:t>
            </w:r>
          </w:p>
        </w:tc>
      </w:tr>
      <w:tr>
        <w:trPr>
          <w:trHeight w:val="60" w:hRule="atLeast"/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iCs/>
                <w:sz w:val="24"/>
                <w:szCs w:val="24"/>
                <w:shd w:fill="FFFFFF" w:val="clear"/>
                <w:lang w:val="en-US"/>
              </w:rPr>
            </w:pPr>
            <w:r>
              <w:rPr>
                <w:iCs/>
                <w:sz w:val="24"/>
                <w:szCs w:val="24"/>
                <w:shd w:fill="FFFFFF" w:val="clear"/>
                <w:lang w:val="en-US"/>
              </w:rPr>
              <w:t>ЛНА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Локальный нормативный акт</w:t>
            </w:r>
          </w:p>
        </w:tc>
      </w:tr>
      <w:tr>
        <w:trPr>
          <w:trHeight w:val="60" w:hRule="atLeast"/>
          <w:cantSplit w:val="true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iCs/>
                <w:sz w:val="24"/>
                <w:szCs w:val="24"/>
                <w:shd w:fill="FFFFFF" w:val="clear"/>
                <w:lang w:val="en-US"/>
              </w:rPr>
            </w:pPr>
            <w:r>
              <w:rPr>
                <w:iCs/>
                <w:sz w:val="24"/>
                <w:szCs w:val="24"/>
                <w:shd w:fill="FFFFFF" w:val="clear"/>
                <w:lang w:val="en-US"/>
              </w:rPr>
              <w:t>ВОР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58" w:firstLin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Ведомость объёмов работ</w:t>
            </w:r>
          </w:p>
        </w:tc>
      </w:tr>
    </w:tbl>
    <w:p>
      <w:pPr>
        <w:pStyle w:val="Heading4"/>
        <w:numPr>
          <w:ilvl w:val="0"/>
          <w:numId w:val="0"/>
        </w:numPr>
        <w:spacing w:before="0" w:after="0"/>
        <w:ind w:left="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0"/>
          <w:numId w:val="0"/>
        </w:numPr>
        <w:spacing w:before="0" w:after="0"/>
        <w:ind w:left="0" w:hanging="0"/>
        <w:jc w:val="both"/>
        <w:rPr>
          <w:sz w:val="24"/>
          <w:szCs w:val="24"/>
        </w:rPr>
      </w:pPr>
      <w:bookmarkStart w:id="0" w:name="_Toc46743507"/>
      <w:bookmarkStart w:id="1" w:name="_Toc54646398"/>
      <w:bookmarkEnd w:id="0"/>
      <w:bookmarkEnd w:id="1"/>
      <w:r>
        <w:rPr>
          <w:sz w:val="24"/>
          <w:szCs w:val="24"/>
        </w:rPr>
        <w:t>1.2. Наименование работ</w:t>
      </w:r>
    </w:p>
    <w:p>
      <w:pPr>
        <w:pStyle w:val="Heading4"/>
        <w:numPr>
          <w:ilvl w:val="2"/>
        </w:numPr>
        <w:spacing w:before="0" w:after="0"/>
        <w:ind w:left="0" w:hanging="0"/>
        <w:jc w:val="both"/>
        <w:rPr>
          <w:b w:val="false"/>
          <w:sz w:val="24"/>
          <w:szCs w:val="24"/>
          <w:lang w:val="ru-RU"/>
        </w:rPr>
      </w:pPr>
      <w:r>
        <w:rPr>
          <w:b w:val="false"/>
          <w:sz w:val="24"/>
          <w:szCs w:val="24"/>
        </w:rPr>
        <w:t>ОКПД2 43.34.10.140</w:t>
      </w:r>
      <w:r>
        <w:rPr>
          <w:b w:val="false"/>
          <w:sz w:val="24"/>
          <w:szCs w:val="24"/>
          <w:lang w:val="ru-RU"/>
        </w:rPr>
        <w:t xml:space="preserve"> </w:t>
      </w:r>
      <w:r>
        <w:rPr>
          <w:b w:val="false"/>
          <w:sz w:val="24"/>
          <w:szCs w:val="24"/>
        </w:rPr>
        <w:t xml:space="preserve">Выполнение работ по восстановлению ЛКП  металлических поверхностей решетчатой конструкции защитного ограждения ЩО НБ </w:t>
      </w:r>
      <w:r>
        <w:rPr>
          <w:b w:val="false"/>
          <w:sz w:val="24"/>
          <w:szCs w:val="24"/>
          <w:lang w:val="ru-RU"/>
        </w:rPr>
        <w:t>в</w:t>
      </w:r>
      <w:r>
        <w:rPr>
          <w:b w:val="false"/>
          <w:sz w:val="24"/>
          <w:szCs w:val="24"/>
        </w:rPr>
        <w:t>доль автодороги Саратовской ГЭС  для нужд Саратовского филиала</w:t>
      </w:r>
      <w:r>
        <w:rPr>
          <w:b w:val="false"/>
          <w:sz w:val="24"/>
          <w:szCs w:val="24"/>
          <w:lang w:val="ru-RU"/>
        </w:rPr>
        <w:t>.</w:t>
      </w:r>
    </w:p>
    <w:p>
      <w:pPr>
        <w:pStyle w:val="Normal"/>
        <w:spacing w:lineRule="auto" w:line="240"/>
        <w:rPr/>
      </w:pPr>
      <w:r>
        <w:rPr/>
      </w:r>
    </w:p>
    <w:p>
      <w:pPr>
        <w:pStyle w:val="Heading4"/>
        <w:numPr>
          <w:ilvl w:val="2"/>
        </w:numPr>
        <w:spacing w:before="0" w:after="0"/>
        <w:ind w:left="0" w:hanging="0"/>
        <w:rPr>
          <w:sz w:val="24"/>
          <w:szCs w:val="24"/>
        </w:rPr>
      </w:pPr>
      <w:r>
        <w:rPr>
          <w:sz w:val="24"/>
          <w:szCs w:val="24"/>
        </w:rPr>
        <w:t>1.3. Цель выполнения работ</w:t>
      </w:r>
    </w:p>
    <w:p>
      <w:pPr>
        <w:pStyle w:val="Heading4"/>
        <w:numPr>
          <w:ilvl w:val="0"/>
          <w:numId w:val="0"/>
        </w:numPr>
        <w:spacing w:before="0" w:after="0"/>
        <w:ind w:left="0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1.3.1. Восстановление защитных свойств ЛКП металлоконструкции защитного ограждения в составе системы ИТСФЗ, устранение дефектов (сколы, отслоения, очаги коррозии) в целях исполнения гарантийных обязательств по договору подряда №1300-265-2022 от 16.09.2022г. «Модернизация комплексной системы безопасности Саратовской ГЭС», заключенного между ПАО «РусГидро» и АО «Гидроремонт-ВКК».</w:t>
      </w:r>
    </w:p>
    <w:p>
      <w:pPr>
        <w:pStyle w:val="Normal"/>
        <w:spacing w:lineRule="auto" w:line="240"/>
        <w:ind w:hanging="0"/>
        <w:rPr>
          <w:b/>
          <w:sz w:val="24"/>
          <w:szCs w:val="24"/>
          <w:lang w:val="x-none"/>
        </w:rPr>
      </w:pPr>
      <w:r>
        <w:rPr>
          <w:b/>
          <w:sz w:val="24"/>
          <w:szCs w:val="24"/>
          <w:lang w:val="x-none"/>
        </w:rPr>
      </w:r>
    </w:p>
    <w:p>
      <w:pPr>
        <w:pStyle w:val="Normal"/>
        <w:spacing w:lineRule="auto" w:line="240"/>
        <w:ind w:hanging="0"/>
        <w:rPr>
          <w:b/>
          <w:sz w:val="24"/>
          <w:szCs w:val="24"/>
          <w:lang w:val="x-none"/>
        </w:rPr>
      </w:pPr>
      <w:r>
        <w:rPr>
          <w:b/>
          <w:sz w:val="24"/>
          <w:szCs w:val="24"/>
          <w:lang w:val="x-none"/>
        </w:rPr>
        <w:t xml:space="preserve">1.4. Существующее положение </w:t>
      </w:r>
    </w:p>
    <w:p>
      <w:pPr>
        <w:pStyle w:val="Normal"/>
        <w:spacing w:lineRule="auto" w:line="240"/>
        <w:ind w:hanging="0"/>
        <w:rPr>
          <w:sz w:val="24"/>
          <w:szCs w:val="24"/>
          <w:lang w:val="x-none"/>
        </w:rPr>
      </w:pPr>
      <w:r>
        <w:rPr>
          <w:sz w:val="24"/>
          <w:szCs w:val="24"/>
          <w:lang w:val="x-none"/>
        </w:rPr>
        <w:t>1.4.1. Работа выполняется на территории Филиала ПАО «РусГидро» - «Саратовская ГЭС», щитовое отделение нижнего бьефа:</w:t>
      </w:r>
    </w:p>
    <w:p>
      <w:pPr>
        <w:pStyle w:val="ListParagraph"/>
        <w:numPr>
          <w:ilvl w:val="0"/>
          <w:numId w:val="7"/>
        </w:numPr>
        <w:ind w:left="0" w:hanging="0"/>
        <w:jc w:val="both"/>
        <w:rPr>
          <w:lang w:val="x-none"/>
        </w:rPr>
      </w:pPr>
      <w:r>
        <w:rPr>
          <w:lang w:val="x-none"/>
        </w:rPr>
        <w:t xml:space="preserve">на открытых и полуоткрытых производственных площадках в стеснённых условиях: </w:t>
      </w:r>
    </w:p>
    <w:p>
      <w:pPr>
        <w:pStyle w:val="ListParagraph"/>
        <w:numPr>
          <w:ilvl w:val="0"/>
          <w:numId w:val="7"/>
        </w:numPr>
        <w:ind w:left="0" w:hanging="0"/>
        <w:jc w:val="both"/>
        <w:rPr>
          <w:lang w:val="x-none"/>
        </w:rPr>
      </w:pPr>
      <w:r>
        <w:rPr>
          <w:lang w:val="x-none"/>
        </w:rPr>
        <w:t xml:space="preserve">с наличием в зоне производства работ действующего технологического оборудования или движения технологического транспорта; </w:t>
      </w:r>
    </w:p>
    <w:p>
      <w:pPr>
        <w:pStyle w:val="ListParagraph"/>
        <w:numPr>
          <w:ilvl w:val="0"/>
          <w:numId w:val="7"/>
        </w:numPr>
        <w:ind w:left="0" w:hanging="0"/>
        <w:jc w:val="both"/>
        <w:rPr>
          <w:lang w:val="x-none"/>
        </w:rPr>
      </w:pPr>
      <w:r>
        <w:rPr>
          <w:lang w:val="x-none"/>
        </w:rPr>
        <w:t>вблизи действующих электроустановок, находящихся под высоким напряжением.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  <w:t xml:space="preserve">1.4.2. </w:t>
      </w:r>
      <w:r>
        <w:rPr>
          <w:sz w:val="24"/>
          <w:szCs w:val="24"/>
          <w:lang w:val="x-none"/>
        </w:rPr>
        <w:t>Восстановление защитных свойств металлических поверхностей решетчатой конструкции защитного ограждения</w:t>
      </w:r>
      <w:r>
        <w:rPr>
          <w:sz w:val="24"/>
          <w:szCs w:val="24"/>
        </w:rPr>
        <w:t xml:space="preserve"> в</w:t>
      </w:r>
      <w:r>
        <w:rPr>
          <w:sz w:val="24"/>
          <w:szCs w:val="24"/>
          <w:lang w:val="x-none"/>
        </w:rPr>
        <w:t xml:space="preserve"> составе системы ИТСФЗ</w:t>
      </w:r>
      <w:r>
        <w:rPr>
          <w:sz w:val="24"/>
          <w:szCs w:val="24"/>
        </w:rPr>
        <w:t>, согласно заключения технической экспертизы (экспертное исследование №1 от 20.08.2026г) результатов нанесение лакокрасочного покрытия металлоконструкций защитного ограждения ЩО НБ вдоль автодороги Саратовской ГЭС, разработанного экспертной организацией ООО «Арсенал 64».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numPr>
          <w:ilvl w:val="0"/>
          <w:numId w:val="0"/>
        </w:numPr>
        <w:spacing w:lineRule="auto" w:line="240" w:before="0" w:after="0"/>
        <w:ind w:left="0" w:hanging="0"/>
        <w:rPr/>
      </w:pPr>
      <w:bookmarkStart w:id="2" w:name="_Toc54646400"/>
      <w:bookmarkStart w:id="3" w:name="_Toc46743507_Копия_1"/>
      <w:bookmarkStart w:id="4" w:name="_Toc54646398_Копия_1"/>
      <w:bookmarkEnd w:id="3"/>
      <w:bookmarkEnd w:id="4"/>
      <w:r>
        <w:rPr>
          <w:rFonts w:ascii="Times New Roman" w:hAnsi="Times New Roman"/>
          <w:sz w:val="24"/>
          <w:szCs w:val="24"/>
        </w:rPr>
        <w:t>Таблица 1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Перечень объектов Заказчика</w:t>
      </w:r>
      <w:bookmarkEnd w:id="2"/>
    </w:p>
    <w:tbl>
      <w:tblPr>
        <w:tblW w:w="1049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709"/>
        <w:gridCol w:w="2945"/>
        <w:gridCol w:w="2300"/>
        <w:gridCol w:w="2551"/>
        <w:gridCol w:w="1985"/>
      </w:tblGrid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объекта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Расположение объекта </w:t>
            </w:r>
            <w:r>
              <w:rPr>
                <w:b/>
                <w:iCs/>
                <w:sz w:val="24"/>
                <w:szCs w:val="24"/>
              </w:rPr>
              <w:t>(место производства работ)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Наименование основного средства (в отношении которого выполняются работы)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/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/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387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13"/>
              <w:widowControl w:val="false"/>
              <w:numPr>
                <w:ilvl w:val="0"/>
                <w:numId w:val="5"/>
              </w:numPr>
              <w:spacing w:lineRule="auto" w:line="240" w:before="0" w:after="0"/>
              <w:ind w:left="0" w:hanging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инженерно-технических средств защиты со стороны щитового отделения нижнего бьефа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/>
            </w:pPr>
            <w:r>
              <w:rPr>
                <w:sz w:val="24"/>
                <w:szCs w:val="24"/>
              </w:rPr>
              <w:t>Саратовской ГЭС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«РусГидро» - «Саратовская ГЭС» РФ, 413840, Саратовская обл.,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/>
            </w:pPr>
            <w:r>
              <w:rPr>
                <w:sz w:val="24"/>
                <w:szCs w:val="24"/>
              </w:rPr>
              <w:t>г. Балаково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Металлоконструкции защитного ограждения ЩО НБ вдоль автодороги Саратовской ГЭС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/>
            </w:pPr>
            <w:r>
              <w:rPr>
                <w:sz w:val="24"/>
                <w:szCs w:val="24"/>
              </w:rPr>
              <w:t>Эксплуатирующая организация: Филиал ПАО «РусГидро» - «Саратовская ГЭС»</w:t>
            </w:r>
          </w:p>
        </w:tc>
      </w:tr>
    </w:tbl>
    <w:p>
      <w:pPr>
        <w:pStyle w:val="Normal"/>
        <w:spacing w:lineRule="auto" w:line="240"/>
        <w:rPr/>
      </w:pPr>
      <w:r>
        <w:rPr/>
      </w:r>
    </w:p>
    <w:p>
      <w:pPr>
        <w:pStyle w:val="Heading4"/>
        <w:numPr>
          <w:ilvl w:val="0"/>
          <w:numId w:val="0"/>
        </w:numPr>
        <w:spacing w:before="0" w:after="0"/>
        <w:ind w:left="0" w:hanging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1.5. </w:t>
      </w:r>
      <w:r>
        <w:rPr>
          <w:sz w:val="24"/>
          <w:szCs w:val="24"/>
        </w:rPr>
        <w:t xml:space="preserve">Информация в отношении исполнения договора, </w:t>
      </w:r>
      <w:bookmarkStart w:id="5" w:name="_Hlk46492347"/>
      <w:r>
        <w:rPr>
          <w:sz w:val="24"/>
          <w:szCs w:val="24"/>
        </w:rPr>
        <w:t xml:space="preserve">которая должна быть учтена </w:t>
      </w:r>
      <w:bookmarkEnd w:id="5"/>
      <w:r>
        <w:rPr>
          <w:sz w:val="24"/>
          <w:szCs w:val="24"/>
        </w:rPr>
        <w:t>(в том числе перечень ресурсов, работ и документов, предоставляемых З</w:t>
      </w:r>
      <w:r>
        <w:rPr>
          <w:sz w:val="24"/>
          <w:szCs w:val="24"/>
          <w:lang w:val="ru-RU"/>
        </w:rPr>
        <w:t>аказчиком</w:t>
      </w:r>
      <w:r>
        <w:rPr>
          <w:sz w:val="24"/>
          <w:szCs w:val="24"/>
        </w:rPr>
        <w:t xml:space="preserve"> на этапе исполнения договора)</w:t>
      </w:r>
      <w:r>
        <w:rPr>
          <w:sz w:val="24"/>
          <w:szCs w:val="24"/>
          <w:lang w:val="ru-RU"/>
        </w:rPr>
        <w:t xml:space="preserve"> </w:t>
      </w:r>
      <w:bookmarkStart w:id="6" w:name="_Hlk48209761"/>
    </w:p>
    <w:p>
      <w:pPr>
        <w:pStyle w:val="Heading4"/>
        <w:numPr>
          <w:ilvl w:val="0"/>
          <w:numId w:val="0"/>
        </w:numPr>
        <w:spacing w:before="0" w:after="0"/>
        <w:ind w:left="0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1.5.1. Перед началом работ:</w:t>
      </w:r>
    </w:p>
    <w:p>
      <w:pPr>
        <w:pStyle w:val="ListParagraph"/>
        <w:numPr>
          <w:ilvl w:val="0"/>
          <w:numId w:val="8"/>
        </w:numPr>
        <w:ind w:left="0" w:hanging="0"/>
        <w:jc w:val="both"/>
        <w:rPr/>
      </w:pPr>
      <w:r>
        <w:rPr/>
        <w:t>Заказчику (при необходимости) согласовать с Федеральным казённым учреждением УПРДОР «НИЖНЕВОЛЖСКОЕ» временное сужение (отдельными секциями защитного ограждения) проезжей части правой полосы движения автодороги «Подъезд к Балаковской АЭС от автодороги Р-228 «Сызрань-Саратов-Волгоград» на участке км 6+950 ÷ км 7+350.</w:t>
      </w:r>
    </w:p>
    <w:p>
      <w:pPr>
        <w:pStyle w:val="ListParagraph"/>
        <w:numPr>
          <w:ilvl w:val="0"/>
          <w:numId w:val="8"/>
        </w:numPr>
        <w:ind w:left="0" w:hanging="0"/>
        <w:jc w:val="both"/>
        <w:rPr/>
      </w:pPr>
      <w:r>
        <w:rPr/>
        <w:t>Заказчику, собственными силами, выполнить работы по демонтажу модульных конструкций защитного ограждения «Махаон», дополнительно установленного на металлоконструкциях защитного ограждения.</w:t>
      </w:r>
    </w:p>
    <w:p>
      <w:pPr>
        <w:pStyle w:val="ListParagraph"/>
        <w:numPr>
          <w:ilvl w:val="0"/>
          <w:numId w:val="8"/>
        </w:numPr>
        <w:ind w:left="0" w:hanging="0"/>
        <w:jc w:val="both"/>
        <w:rPr/>
      </w:pPr>
      <w:r>
        <w:rPr/>
        <w:t>Подрядчику, собственными силами (при необходимости) выполнить работы по демонтажу специализированного средства для защиты периметров «Армированная колючая лента АКЛ-600П», дополнительно установленного на металлоконструкциях защитного ограждения.</w:t>
      </w:r>
    </w:p>
    <w:p>
      <w:pPr>
        <w:pStyle w:val="ListParagraph"/>
        <w:ind w:left="0" w:hanging="0"/>
        <w:jc w:val="both"/>
        <w:rPr/>
      </w:pPr>
      <w:r>
        <w:rPr/>
        <w:t>1.5.2. Заказчик не предоставляет Подрядчику оборудование и материалы для выполнения работ, в качестве давальческих.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  <w:t>1.5.2. Заказчик, по запросу, предоставляет Подрядчику чертежи, эскизы из состава рабочей документации в рамках объёмов выполнения работ.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/>
        <w:ind w:hanging="0"/>
        <w:rPr/>
      </w:pPr>
      <w:r>
        <w:rPr>
          <w:sz w:val="24"/>
          <w:szCs w:val="24"/>
        </w:rPr>
        <w:t>1.5.3. Заказчик, по запросу, предоставляет Подрядчику «Экспертное исследование» из состава инструментальной технической экспертизы результатов по нанесение лакокрасочного покрытия металлоконструкций защитного ограждения щитового отделения нижнего бьефа.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  <w:t>1.5.3. Допуск персонала Подрядчика для выполнения Работ осуществляется в соответствии с регламентом процесса «Допуск персонала подрядных организаций на объекты ПАО «РусГидро» (утв. приказом ОАО «РусГидро» №300 от 28.04.2023г).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  <w:t>1.5.4. Заказчик, согласовывает со службой эксплуатации Саратовской ГЭС места подключения временных коммуникаций (технические условия на подключения выдаются после получения от Подрядчика официального запроса с указанием потребных ресурсов в количественных и качественных показателях).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/>
        <w:ind w:hanging="0"/>
        <w:rPr/>
      </w:pPr>
      <w:r>
        <w:rPr/>
      </w:r>
    </w:p>
    <w:p>
      <w:pPr>
        <w:pStyle w:val="Heading4"/>
        <w:numPr>
          <w:ilvl w:val="0"/>
          <w:numId w:val="0"/>
        </w:numPr>
        <w:spacing w:before="0" w:after="0"/>
        <w:ind w:left="0" w:hanging="0"/>
        <w:rPr/>
      </w:pPr>
      <w:bookmarkStart w:id="7" w:name="_Toc54646402"/>
      <w:bookmarkStart w:id="8" w:name="_Toc50125126"/>
      <w:bookmarkEnd w:id="6"/>
      <w:bookmarkEnd w:id="8"/>
      <w:r>
        <w:rPr>
          <w:sz w:val="24"/>
          <w:szCs w:val="24"/>
          <w:lang w:val="ru-RU"/>
        </w:rPr>
        <w:t xml:space="preserve">1.6. </w:t>
      </w:r>
      <w:r>
        <w:rPr>
          <w:sz w:val="24"/>
          <w:szCs w:val="24"/>
        </w:rPr>
        <w:t>Иные требования и сведения общего характера</w:t>
      </w:r>
      <w:bookmarkEnd w:id="7"/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  <w:t>1.6.1. Результатом работ становится восстановленная защитная функция металлоконструкции,</w:t>
      </w:r>
      <w:r>
        <w:rPr/>
        <w:t xml:space="preserve"> </w:t>
      </w:r>
      <w:r>
        <w:rPr>
          <w:sz w:val="24"/>
          <w:szCs w:val="24"/>
        </w:rPr>
        <w:t>работоспособная и долговечная система защиты от коррозии процессе эксплуатации.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  <w:t>1.6.2. Результаты работ считаются выполненными, при условии выполнения всего технологического цикла (с полным восстановлением защитных функций металлоконструкции, устранению всех дефектов ЛКП) и приёмки объекта комиссией в составе специалистов Заказчика, Филиала ПАО «РусГидро» - «Саратовская ГЭС» с оформлением и предоставлением отчётной (исполнительной) документации со стороны Подрядчика</w:t>
      </w:r>
      <w:r>
        <w:rPr>
          <w:i/>
          <w:sz w:val="24"/>
          <w:szCs w:val="24"/>
        </w:rPr>
        <w:t>.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keepLines/>
        <w:numPr>
          <w:ilvl w:val="0"/>
          <w:numId w:val="0"/>
        </w:numPr>
        <w:spacing w:lineRule="auto" w:line="240" w:before="0" w:after="0"/>
        <w:ind w:left="0" w:hanging="0"/>
        <w:rPr/>
      </w:pPr>
      <w:bookmarkStart w:id="9" w:name="_Toc54646403"/>
      <w:bookmarkStart w:id="10" w:name="_Toc51339693"/>
      <w:r>
        <w:rPr>
          <w:rFonts w:ascii="Times New Roman" w:hAnsi="Times New Roman"/>
          <w:iCs/>
          <w:sz w:val="24"/>
          <w:szCs w:val="24"/>
          <w:lang w:val="ru-RU"/>
        </w:rPr>
        <w:t xml:space="preserve">2. </w:t>
      </w:r>
      <w:r>
        <w:rPr>
          <w:rFonts w:ascii="Times New Roman" w:hAnsi="Times New Roman"/>
          <w:iCs/>
          <w:sz w:val="24"/>
          <w:szCs w:val="24"/>
        </w:rPr>
        <w:t xml:space="preserve">Требования к </w:t>
      </w:r>
      <w:bookmarkEnd w:id="9"/>
      <w:bookmarkEnd w:id="10"/>
      <w:r>
        <w:rPr>
          <w:rFonts w:ascii="Times New Roman" w:hAnsi="Times New Roman"/>
          <w:iCs/>
          <w:sz w:val="24"/>
          <w:szCs w:val="24"/>
        </w:rPr>
        <w:t>работам</w:t>
      </w:r>
    </w:p>
    <w:p>
      <w:pPr>
        <w:pStyle w:val="Heading4"/>
        <w:numPr>
          <w:ilvl w:val="0"/>
          <w:numId w:val="0"/>
        </w:numPr>
        <w:spacing w:before="0" w:after="0"/>
        <w:ind w:left="0" w:hanging="0"/>
        <w:rPr/>
      </w:pPr>
      <w:bookmarkStart w:id="11" w:name="_Toc54646404"/>
      <w:r>
        <w:rPr>
          <w:sz w:val="24"/>
          <w:szCs w:val="24"/>
          <w:lang w:val="ru-RU"/>
        </w:rPr>
        <w:t xml:space="preserve">2.1. </w:t>
      </w:r>
      <w:r>
        <w:rPr>
          <w:sz w:val="24"/>
          <w:szCs w:val="24"/>
        </w:rPr>
        <w:t xml:space="preserve">Требования к объёмам и срокам </w:t>
      </w:r>
      <w:r>
        <w:rPr>
          <w:sz w:val="24"/>
          <w:szCs w:val="24"/>
          <w:lang w:val="ru-RU"/>
        </w:rPr>
        <w:t>выполнения работ</w:t>
      </w:r>
      <w:bookmarkEnd w:id="11"/>
    </w:p>
    <w:p>
      <w:pPr>
        <w:pStyle w:val="Heading3"/>
        <w:numPr>
          <w:ilvl w:val="0"/>
          <w:numId w:val="0"/>
        </w:numPr>
        <w:spacing w:before="0" w:after="0"/>
        <w:ind w:left="0" w:hanging="0"/>
        <w:rPr/>
      </w:pPr>
      <w:bookmarkStart w:id="12" w:name="_Toc54646405"/>
      <w:r>
        <w:rPr>
          <w:sz w:val="24"/>
          <w:szCs w:val="24"/>
          <w:lang w:val="ru-RU"/>
        </w:rPr>
        <w:t>2.1.1. Требования к видам и объёмам работ</w:t>
      </w:r>
      <w:bookmarkEnd w:id="12"/>
    </w:p>
    <w:p>
      <w:pPr>
        <w:pStyle w:val="113"/>
        <w:spacing w:lineRule="auto" w:line="240" w:before="0" w:after="0"/>
        <w:ind w:left="0" w:hanging="0"/>
        <w:contextualSpacing w:val="false"/>
        <w:rPr/>
      </w:pPr>
      <w:r>
        <w:rPr/>
        <w:t>2.1.1.1. Разработка и согласование с Заказчиком и Филиалом ПАО «РусГидро» - «Саратовская ГЭС» Проекта производства работ (ППР), Календарного графика производства работ;</w:t>
      </w:r>
    </w:p>
    <w:p>
      <w:pPr>
        <w:pStyle w:val="113"/>
        <w:spacing w:lineRule="auto" w:line="240" w:before="0" w:after="0"/>
        <w:ind w:left="0" w:hanging="0"/>
        <w:contextualSpacing w:val="false"/>
        <w:rPr/>
      </w:pPr>
      <w:r>
        <w:rPr/>
        <w:t>2.1.1.2. Закупка материалов, транспортировка и доставка на место проведения работ.</w:t>
      </w:r>
    </w:p>
    <w:p>
      <w:pPr>
        <w:pStyle w:val="113"/>
        <w:spacing w:lineRule="auto" w:line="240" w:before="0" w:after="0"/>
        <w:ind w:left="0" w:hanging="0"/>
        <w:contextualSpacing w:val="false"/>
        <w:rPr/>
      </w:pPr>
      <w:r>
        <w:rPr/>
        <w:t>2.1.1.3. Подготовка поверхности на металлоконструкциях.</w:t>
      </w:r>
    </w:p>
    <w:p>
      <w:pPr>
        <w:pStyle w:val="113"/>
        <w:spacing w:lineRule="auto" w:line="240" w:before="0" w:after="0"/>
        <w:ind w:left="0" w:hanging="0"/>
        <w:contextualSpacing w:val="false"/>
        <w:rPr/>
      </w:pPr>
      <w:r>
        <w:rPr/>
        <w:t>2.1.1.4. Подготовка лакокрасочных материалов.</w:t>
      </w:r>
    </w:p>
    <w:p>
      <w:pPr>
        <w:pStyle w:val="113"/>
        <w:spacing w:lineRule="auto" w:line="240" w:before="0" w:after="0"/>
        <w:ind w:left="0" w:hanging="0"/>
        <w:contextualSpacing w:val="false"/>
        <w:rPr/>
      </w:pPr>
      <w:r>
        <w:rPr/>
        <w:t>2.1.1.5. Нанесение лакокрасочных покрытий на металлоконструкции.</w:t>
      </w:r>
    </w:p>
    <w:p>
      <w:pPr>
        <w:pStyle w:val="113"/>
        <w:spacing w:lineRule="auto" w:line="240" w:before="0" w:after="0"/>
        <w:ind w:left="0" w:hanging="0"/>
        <w:contextualSpacing w:val="false"/>
        <w:rPr/>
      </w:pPr>
      <w:r>
        <w:rPr/>
        <w:t>2.1.1.6. Вывоз образовавшихся отходов (строительный и бытовой мусор, лом металлов и тд.), при выполнении работ, Подрядчиком осуществляется незамедлительно, собственными силами и за собственные средства. Складирование и хранение отходов, образовавшихся при выполнении работ, на территории Саратовской ГЭС не допускается</w:t>
      </w:r>
    </w:p>
    <w:p>
      <w:pPr>
        <w:pStyle w:val="113"/>
        <w:spacing w:lineRule="auto" w:line="240" w:before="0" w:after="0"/>
        <w:ind w:left="0" w:hanging="0"/>
        <w:contextualSpacing w:val="false"/>
        <w:rPr/>
      </w:pPr>
      <w:r>
        <w:rPr/>
        <w:t>2.1.1.7. Предъявление результатов работ совместной комиссии Заказчика и Филиала ПАО «РусГидро» - «Саратовская ГЭС», оформление отчётной и исполнительной документации.</w:t>
      </w:r>
    </w:p>
    <w:p>
      <w:pPr>
        <w:pStyle w:val="Style32"/>
        <w:numPr>
          <w:ilvl w:val="0"/>
          <w:numId w:val="0"/>
        </w:numPr>
        <w:spacing w:lineRule="auto" w:line="240" w:before="0" w:after="0"/>
        <w:ind w:left="0" w:hanging="0"/>
        <w:jc w:val="left"/>
        <w:outlineLvl w:val="0"/>
        <w:rPr/>
      </w:pPr>
      <w:r>
        <w:rPr/>
        <w:t>Таблица 2. Перечень и объем выполняемых работ</w:t>
      </w:r>
    </w:p>
    <w:tbl>
      <w:tblPr>
        <w:tblW w:w="1049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867"/>
        <w:gridCol w:w="6645"/>
        <w:gridCol w:w="1420"/>
        <w:gridCol w:w="1557"/>
      </w:tblGrid>
      <w:tr>
        <w:trPr/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/>
              <w:ind w:hanging="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spacing w:lineRule="auto" w:line="240"/>
              <w:ind w:hanging="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/>
              <w:ind w:hanging="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/>
              <w:ind w:hanging="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/>
              <w:ind w:hanging="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1158" w:hRule="atLeast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</w:t>
            </w:r>
            <w:r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spacing w:lineRule="auto" w:line="240" w:before="0" w:after="0"/>
              <w:ind w:left="0" w:hanging="0"/>
              <w:contextualSpacing w:val="false"/>
              <w:rPr/>
            </w:pPr>
            <w:r>
              <w:rPr/>
              <w:t>ОКПД2 43.34.10.140 Выполнение работ по восстановлению ЛКП  металлических поверхностей решетчатой конструкции защитного ограждения ЩО НБ вдоль автодороги Саратовской ГЭС  для нужд Саратовского филиала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Общая площадь металлоконструкций защитного ограждения  ЩО НБ S=2334,0м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</w:tr>
    </w:tbl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/>
        <w:ind w:hanging="0"/>
        <w:rPr>
          <w:bCs/>
          <w:sz w:val="24"/>
          <w:szCs w:val="24"/>
          <w:shd w:fill="FFFF99" w:val="clear"/>
        </w:rPr>
      </w:pPr>
      <w:r>
        <w:rPr>
          <w:bCs/>
          <w:sz w:val="24"/>
          <w:szCs w:val="24"/>
          <w:shd w:fill="FFFF99" w:val="clear"/>
        </w:rPr>
      </w:r>
    </w:p>
    <w:p>
      <w:pPr>
        <w:pStyle w:val="Heading3"/>
        <w:numPr>
          <w:ilvl w:val="0"/>
          <w:numId w:val="0"/>
        </w:numPr>
        <w:spacing w:before="0" w:after="0"/>
        <w:ind w:left="0" w:hanging="0"/>
        <w:rPr/>
      </w:pPr>
      <w:bookmarkStart w:id="13" w:name="_Toc54646407"/>
      <w:bookmarkStart w:id="14" w:name="_Toc51339696"/>
      <w:r>
        <w:rPr>
          <w:sz w:val="24"/>
          <w:szCs w:val="24"/>
          <w:lang w:val="ru-RU"/>
        </w:rPr>
        <w:t xml:space="preserve">2.1.2. Требования </w:t>
      </w:r>
      <w:bookmarkEnd w:id="14"/>
      <w:r>
        <w:rPr>
          <w:sz w:val="24"/>
          <w:szCs w:val="24"/>
          <w:lang w:val="ru-RU"/>
        </w:rPr>
        <w:t>к срокам выполнения работ</w:t>
      </w:r>
      <w:bookmarkEnd w:id="13"/>
      <w:r>
        <w:rPr>
          <w:sz w:val="24"/>
          <w:szCs w:val="24"/>
        </w:rPr>
        <w:t xml:space="preserve"> </w:t>
      </w:r>
    </w:p>
    <w:p>
      <w:pPr>
        <w:pStyle w:val="Heading1"/>
        <w:keepLines/>
        <w:numPr>
          <w:ilvl w:val="0"/>
          <w:numId w:val="0"/>
        </w:numPr>
        <w:spacing w:lineRule="auto" w:line="240" w:before="0" w:after="0"/>
        <w:ind w:left="0" w:hanging="0"/>
        <w:rPr/>
      </w:pPr>
      <w:bookmarkStart w:id="15" w:name="_Toc54646408"/>
      <w:bookmarkStart w:id="16" w:name="_Toc51339697"/>
      <w:bookmarkStart w:id="17" w:name="_Toc50125127"/>
      <w:bookmarkStart w:id="18" w:name="_Toc50125126_Копия_1"/>
      <w:bookmarkEnd w:id="18"/>
      <w:r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  <w:lang w:val="ru-RU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bookmarkStart w:id="19" w:name="_Hlk50465284"/>
      <w:r>
        <w:rPr>
          <w:rFonts w:ascii="Times New Roman" w:hAnsi="Times New Roman"/>
          <w:sz w:val="24"/>
          <w:szCs w:val="24"/>
        </w:rPr>
        <w:t xml:space="preserve">Требования по срокам </w:t>
      </w:r>
      <w:bookmarkEnd w:id="16"/>
      <w:bookmarkEnd w:id="17"/>
      <w:bookmarkEnd w:id="19"/>
      <w:r>
        <w:rPr>
          <w:rFonts w:ascii="Times New Roman" w:hAnsi="Times New Roman"/>
          <w:sz w:val="24"/>
          <w:szCs w:val="24"/>
          <w:lang w:val="ru-RU"/>
        </w:rPr>
        <w:t>выполнения работ</w:t>
      </w:r>
      <w:bookmarkEnd w:id="15"/>
    </w:p>
    <w:tbl>
      <w:tblPr>
        <w:tblW w:w="1049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849"/>
        <w:gridCol w:w="3828"/>
        <w:gridCol w:w="2977"/>
        <w:gridCol w:w="2835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3"/>
              <w:keepNext w:val="false"/>
              <w:widowControl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3"/>
              <w:keepNext w:val="false"/>
              <w:widowControl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13"/>
              <w:widowControl w:val="false"/>
              <w:spacing w:lineRule="auto" w:line="240" w:before="0" w:after="0"/>
              <w:ind w:left="0" w:right="32" w:hanging="0"/>
              <w:contextualSpacing w:val="false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>
            <w:pPr>
              <w:pStyle w:val="113"/>
              <w:widowControl w:val="false"/>
              <w:spacing w:lineRule="auto" w:line="240" w:before="0" w:after="0"/>
              <w:ind w:left="0" w:hanging="0"/>
              <w:contextualSpacing w:val="false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r>
              <w:rPr>
                <w:lang w:val="en-US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восстановлению лакокрасочного покрытия металлических поверхностей решетчатой конструкции защитного ограждения щитового отделения нижнего бьефа вдоль автодороги Саратовской ГЭС.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/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заключения договора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/>
            </w:pPr>
            <w:bookmarkStart w:id="20" w:name="_Toc46743510"/>
            <w:r>
              <w:rPr>
                <w:sz w:val="24"/>
                <w:szCs w:val="24"/>
              </w:rPr>
              <w:t>В течение 120 дней с даты заключения договора</w:t>
            </w:r>
            <w:bookmarkEnd w:id="20"/>
          </w:p>
        </w:tc>
      </w:tr>
    </w:tbl>
    <w:p>
      <w:pPr>
        <w:pStyle w:val="Heading4"/>
        <w:numPr>
          <w:ilvl w:val="0"/>
          <w:numId w:val="0"/>
        </w:numPr>
        <w:spacing w:before="0" w:after="0"/>
        <w:ind w:left="0" w:hanging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</w:p>
    <w:p>
      <w:pPr>
        <w:pStyle w:val="Heading4"/>
        <w:numPr>
          <w:ilvl w:val="0"/>
          <w:numId w:val="0"/>
        </w:numPr>
        <w:spacing w:before="0" w:after="0"/>
        <w:ind w:left="0" w:hanging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2.2. </w:t>
      </w:r>
      <w:r>
        <w:rPr>
          <w:sz w:val="24"/>
          <w:szCs w:val="24"/>
        </w:rPr>
        <w:t xml:space="preserve">Требования к </w:t>
      </w:r>
      <w:r>
        <w:rPr>
          <w:sz w:val="24"/>
          <w:szCs w:val="24"/>
          <w:lang w:val="ru-RU"/>
        </w:rPr>
        <w:t>качеству работ</w:t>
      </w:r>
    </w:p>
    <w:p>
      <w:pPr>
        <w:pStyle w:val="Heading4"/>
        <w:numPr>
          <w:ilvl w:val="0"/>
          <w:numId w:val="0"/>
        </w:numPr>
        <w:spacing w:before="0" w:after="0"/>
        <w:ind w:left="0" w:hanging="0"/>
        <w:rPr/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r>
        <w:rPr>
          <w:sz w:val="24"/>
          <w:szCs w:val="24"/>
          <w:lang w:val="ru-RU"/>
        </w:rPr>
        <w:t>качеству работ</w:t>
      </w:r>
    </w:p>
    <w:p>
      <w:pPr>
        <w:pStyle w:val="Normal"/>
        <w:snapToGrid w:val="false"/>
        <w:spacing w:lineRule="auto" w:line="240"/>
        <w:ind w:hanging="0"/>
        <w:rPr>
          <w:sz w:val="24"/>
          <w:szCs w:val="24"/>
        </w:rPr>
      </w:pPr>
      <w:r>
        <w:rPr>
          <w:b/>
          <w:bCs/>
          <w:sz w:val="24"/>
          <w:szCs w:val="24"/>
        </w:rPr>
        <w:t>Наименование работ/этапа работ (позиция № 1 Таблицы 2):</w:t>
      </w:r>
      <w:r>
        <w:rPr>
          <w:bCs/>
          <w:sz w:val="24"/>
          <w:szCs w:val="24"/>
        </w:rPr>
        <w:t xml:space="preserve"> Выполнение работ по восстановлению лакокрасочного покрытия металлических поверхностей решетчатой конструкции защитного ограждения щитового отделения нижнего бьефа вдоль автодороги Саратовской ГЭС для нужд Саратовского филиала.</w:t>
      </w:r>
    </w:p>
    <w:tbl>
      <w:tblPr>
        <w:tblW w:w="10496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851"/>
        <w:gridCol w:w="3543"/>
        <w:gridCol w:w="6095"/>
        <w:gridCol w:w="6"/>
      </w:tblGrid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/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/>
            </w:pPr>
            <w:r>
              <w:rPr>
                <w:b/>
                <w:bCs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lang w:val="en-US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Требование  </w:t>
            </w:r>
            <w:r>
              <w:rPr>
                <w:b/>
                <w:bCs/>
                <w:sz w:val="24"/>
                <w:szCs w:val="24"/>
                <w:lang w:val="en-US" w:eastAsia="ru-RU"/>
              </w:rPr>
              <w:t>Заказчика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/>
            </w:pPr>
            <w:r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/>
            </w:pPr>
            <w:r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/>
            </w:pPr>
            <w:r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0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/>
            </w:pPr>
            <w:r>
              <w:rPr>
                <w:b/>
                <w:sz w:val="24"/>
                <w:szCs w:val="24"/>
                <w:lang w:eastAsia="ru-RU"/>
              </w:rPr>
              <w:t xml:space="preserve">Требования к выполнению работ </w:t>
            </w:r>
          </w:p>
        </w:tc>
      </w:tr>
      <w:tr>
        <w:trPr>
          <w:trHeight w:val="1405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1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</w:r>
          </w:p>
        </w:tc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/>
            </w:pPr>
            <w:r>
              <w:rPr>
                <w:b/>
                <w:sz w:val="24"/>
                <w:szCs w:val="24"/>
                <w:lang w:eastAsia="ru-RU"/>
              </w:rPr>
              <w:t>Общие требования к выполнению работ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>Выполнение работ по восстановлению лакокрасочного покрытия металлических поверхностей решетчатой конструкции защитного ограждения щитового отделения нижнего бьефа вдоль автодороги Саратовской ГЭС выполнить в соответствии с результатами экспертного исследования №1, инструментальной технической экспертизы, разработанной экспертной организацией ООО “Арсенал 64”.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2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 xml:space="preserve">Соблюдение при выполнении </w:t>
              <w:br/>
              <w:t>Работ норм и правил НТД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ФЗ «Об охране окружающей среды от 10.01.2002г. №7-ФЗ (в действующей редакции)»;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Постановление Правительства РФ от 16.09.2020г. №1479 «Об утверждении Правил противопожарного режима в Российской Федерации»;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Приказ Минтруда РФ от 16.11.2020г. №782Н «Об утверждении Правил по охране труда при работе на высоте (в редакции от 16.11.2020г)»;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Приказ Минтруда и социальной защиты РФ от 15.12.2020г. №903н «Об утверждении Правил по охране труда при эксплуатации электроустановок»;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Приказ Минтруда России от 27.11.2020г. №835н "Об утверждении Правил по охране труда при работе с инструментом и приспособлениями" (зарегистрировано в Минюсте России 11.12.2020г. № 61411);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Приказ Минтруда России </w:t>
            </w:r>
            <w:r>
              <w:fldChar w:fldCharType="begin"/>
            </w:r>
            <w:r>
              <w:rPr>
                <w:rStyle w:val="Hyperlink"/>
                <w:u w:val="none"/>
                <w:color w:val="auto"/>
                <w:lang w:eastAsia="ru-RU"/>
              </w:rPr>
              <w:instrText xml:space="preserve"> HYPERLINK "../../../../D:/%D0%9F%D0%90%D0%9F%D0%9A%D0%90%20%D0%A1%D0%98%D0%9D%D0%A5%D0%A0%D0%9E%D0%9D%D0%98%D0%97%D0%90%D0%A6%D0%98%D0%98/%D0%90%D0%9A%D0%A2%D0%A3%D0%90%D0%9B%D0%AC%D0%9D%D0%AB%D0%95%20%D0%94%D0%90%D0%9D%D0%9D%D0%AB%D0%95%20110523/%D0%A1%D0%98%D0%A4%D0%97/%D0%A2%D0%A2%202023!!!/%25D0%259A%25D0%25BE%25D1%2580%25D0%25B7%25D0%25B8%25D0%25BD%25D0%25B0/%D0%A2%D0%B5%D1%85%D0%BD%D0%B8%D1%87%D0%B5%D1%81%D0%BA%D0%B8%D0%B5%20%D1%82%D1%80%D0%B5%D0%B1%D0%BE%D0%B2%D0%B0%D0%BD%D0%B8%D1%8F_0005-%D0%A2%D0%9F%D0%B8%D0%A0%20%D0%91%D0%95%D0%97%D0%9E%D0%9F%20%D0%94%D0%9E%D0%A5-2023-%D0%93%D0%A0%D0%92%D0%9A%D0%9A-%D0%A1%D0%B0%D1%80%D0%A4_04_09_2023(ver1)/01.01.2021" \l "_blank"</w:instrText>
            </w:r>
            <w:r>
              <w:rPr>
                <w:rStyle w:val="Hyperlink"/>
                <w:u w:val="none"/>
                <w:color w:val="auto"/>
                <w:lang w:eastAsia="ru-RU"/>
              </w:rPr>
              <w:fldChar w:fldCharType="separate"/>
            </w:r>
            <w:r>
              <w:rPr>
                <w:rStyle w:val="Hyperlink"/>
                <w:color w:val="auto"/>
                <w:u w:val="none"/>
                <w:lang w:eastAsia="ru-RU"/>
              </w:rPr>
              <w:t>от 27.11.2020 № 833н</w:t>
            </w:r>
            <w:r>
              <w:rPr>
                <w:rStyle w:val="Hyperlink"/>
                <w:u w:val="none"/>
                <w:color w:val="auto"/>
                <w:lang w:eastAsia="ru-RU"/>
              </w:rPr>
              <w:fldChar w:fldCharType="end"/>
            </w:r>
            <w:r>
              <w:rPr>
                <w:lang w:eastAsia="ru-RU"/>
              </w:rPr>
              <w:t xml:space="preserve"> «Об утверждении Правил по охране труда при размещении, монтаже, техническом обслуживании и ремонте технологического оборудования» (зарегистрировано в Минюсте России 11.12.2020г. №61413);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Приказ Министерства труда и социальной защиты РФ от 11.12.2020г. № 887н «Об утверждении правил по охране труда при обработке металлов»; 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ГОСТ 9.402-2004 «Единая система защиты от коррозии и старения. Покрытия лакокрасочные. Подготовка металлических поверхностей к окрашиванию»;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ГОСТ 34667.1-2020 «Материалы лакокрасочные. Защита стальных конструкций от коррозии при помощи лакокрасочных систем. Часть 1. Общие положения»;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ГОСТ 34667.5-2021 «Материалы лакокрасочные. Защита стальных конструкций от коррозии при помощи лакокрасочных систем. Часть 5. Защитные лакокрасочные системы»;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ГОСТ Р 70188-2022 «Строительные работы и типовые технологические процессы. Защита металлоконструкций от коррозии в условиях строительно-монтажной площадки. Правила и контроль выполнения работ»;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ГОСТ 9.010-80 «Единая система защиты от коррозии и старения. Воздух, сжатый для распыления лакокрасочных материалов. </w:t>
            </w:r>
            <w:r>
              <w:rPr>
                <w:lang w:val="en-US" w:eastAsia="ru-RU"/>
              </w:rPr>
              <w:t>Технические требования и методы контроля» (актуализированная редакция 01.01.2021г.);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37" w:hanging="37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ГОСТ 16504-81 «Испытания и контроль качества продукции. Основные термины и определения».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37" w:hanging="37"/>
              <w:jc w:val="both"/>
              <w:rPr>
                <w:lang w:eastAsia="ru-RU"/>
              </w:rPr>
            </w:pPr>
            <w:r>
              <w:rPr>
                <w:lang w:eastAsia="ru-RU"/>
              </w:rPr>
              <w:t>ГОСТ 9.032-74. «Покрытия лакокрасочные. Группы технические требования и обозначения».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37" w:hanging="37"/>
              <w:jc w:val="both"/>
              <w:rPr>
                <w:lang w:eastAsia="ru-RU"/>
              </w:rPr>
            </w:pPr>
            <w:r>
              <w:rPr>
                <w:lang w:eastAsia="ru-RU"/>
              </w:rPr>
              <w:t>ГОСТ 23852-79. «Покрытия лакокрасочные. Общие требования к выбору по декоративным свойствам».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37" w:hanging="37"/>
              <w:jc w:val="both"/>
              <w:rPr>
                <w:lang w:eastAsia="ru-RU"/>
              </w:rPr>
            </w:pPr>
            <w:r>
              <w:rPr>
                <w:lang w:eastAsia="ru-RU"/>
              </w:rPr>
              <w:t>ГОСТ 9.402-2004. «Покрытия лакокрасочные. Подготовка металлических поверхностей к окрашиванию».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37" w:hanging="37"/>
              <w:jc w:val="both"/>
              <w:rPr>
                <w:lang w:eastAsia="ru-RU"/>
              </w:rPr>
            </w:pPr>
            <w:r>
              <w:rPr>
                <w:lang w:eastAsia="ru-RU"/>
              </w:rPr>
              <w:t>ГОСТ 31993-2013 «Материалы лакокрасочные. Определение толщины покрытия»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37" w:hanging="37"/>
              <w:jc w:val="both"/>
              <w:rPr>
                <w:lang w:eastAsia="ru-RU"/>
              </w:rPr>
            </w:pPr>
            <w:r>
              <w:rPr>
                <w:lang w:eastAsia="ru-RU"/>
              </w:rPr>
              <w:t>ГОСТ 31149-2014 «Материалы лакокрасочные. Определение адгезии методом решетчатого надреза».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37" w:hanging="37"/>
              <w:jc w:val="both"/>
              <w:rPr>
                <w:lang w:eastAsia="ru-RU"/>
              </w:rPr>
            </w:pPr>
            <w:r>
              <w:rPr>
                <w:lang w:eastAsia="ru-RU"/>
              </w:rPr>
              <w:t>ГОСТ 15140-78 «Материалы лакокрасочные. Методы определения адгезии».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СП 72.13330.2016 «Защита строительных конструкций и сооружений от коррозии» (актуализированная редакция СНиП 3.04.03-85);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ГОСТ 31993-2013 и ГОСТ Р 55614-2013 «Измерение толщины защитного слоя ЛКП»;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СП 28.13330.2017 «Защита строительных конструкций от коррозии» (актуализированная редакция СНиП 2.03.11-85);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СП 48.13330.2019 «СНиП 12-01-2004 «Организация строительства»;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«Правила по охране труда при выполнении окрасочных работ» (утв. Приказом Минтруда РФ от 02.12.2020г. № 849н);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«Правила пожарной безопасности для энергетических предприятий», Приказ МЧС РФ от 18.11.2021г. №806 «Об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безопасности»;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«Правила противопожарного режима в РФ» (утв. Постановлением правительства РФ от 16.09.2020г. №1479);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«Правила по охране труда при размещении, монтаже, техническом обслуживании и ремонте технологического оборудования» (утв. Приказом Минтруда от 27.11.2020г. № 833н);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«Правила по охране труда при погрузочно-разгрузочных работах и размещении грузов» (утв. Приказом Минтруда РФ от 28.10.2020г. № 753н);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РД 153-34.0-03.301-00 (ВППБ 01-02-95*). «Правила пожарной безопасности для энергетических предприятий";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СТО 38537547-001-2015 «Защита металлических конструкций мостов методом окрашивания лакокрасочными покрытиями»;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/>
            </w:pPr>
            <w:r>
              <w:rPr>
                <w:lang w:eastAsia="ru-RU"/>
              </w:rPr>
              <w:t>Положение о пропускном и внутри объектовом режимах Саратовской ГЭС.</w:t>
            </w:r>
            <w:r>
              <w:rPr>
                <w:strike/>
                <w:lang w:eastAsia="ru-RU"/>
              </w:rPr>
              <w:t xml:space="preserve"> 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1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/>
            </w:pPr>
            <w:r>
              <w:rPr>
                <w:b/>
                <w:sz w:val="24"/>
                <w:szCs w:val="24"/>
                <w:lang w:eastAsia="ru-RU"/>
              </w:rPr>
              <w:t>Требования к организации работ</w:t>
            </w:r>
          </w:p>
          <w:p>
            <w:pPr>
              <w:pStyle w:val="113"/>
              <w:widowControl w:val="false"/>
              <w:tabs>
                <w:tab w:val="clear" w:pos="709"/>
                <w:tab w:val="left" w:pos="373" w:leader="none"/>
              </w:tabs>
              <w:spacing w:lineRule="auto" w:line="240" w:before="0" w:after="0"/>
              <w:ind w:left="0" w:hanging="0"/>
              <w:contextualSpacing w:val="false"/>
              <w:rPr/>
            </w:pPr>
            <w:r>
              <w:rPr>
                <w:lang w:eastAsia="ru-RU"/>
              </w:rPr>
              <w:t>Работы выполняются в соответствии НТД, указанными в Таблице 4, п. 1.1.1 раздела 1.1 настоящего ТЗ.</w:t>
            </w:r>
          </w:p>
          <w:p>
            <w:pPr>
              <w:pStyle w:val="113"/>
              <w:widowControl w:val="false"/>
              <w:tabs>
                <w:tab w:val="clear" w:pos="709"/>
                <w:tab w:val="left" w:pos="373" w:leader="none"/>
              </w:tabs>
              <w:spacing w:lineRule="auto" w:line="240" w:before="0" w:after="0"/>
              <w:ind w:left="0" w:hanging="0"/>
              <w:contextualSpacing w:val="false"/>
              <w:rPr/>
            </w:pPr>
            <w:r>
              <w:rPr>
                <w:lang w:eastAsia="ru-RU"/>
              </w:rPr>
              <w:t>Работы выполняются в соответствии с утверждённым ППР.</w:t>
            </w:r>
          </w:p>
          <w:p>
            <w:pPr>
              <w:pStyle w:val="113"/>
              <w:widowControl w:val="false"/>
              <w:numPr>
                <w:ilvl w:val="0"/>
                <w:numId w:val="20"/>
              </w:numPr>
              <w:tabs>
                <w:tab w:val="clear" w:pos="709"/>
                <w:tab w:val="left" w:pos="373" w:leader="none"/>
              </w:tabs>
              <w:spacing w:lineRule="auto" w:line="240" w:before="0" w:after="0"/>
              <w:ind w:left="0" w:hanging="360"/>
              <w:contextualSpacing w:val="false"/>
              <w:rPr/>
            </w:pPr>
            <w:r>
              <w:rPr>
                <w:lang w:eastAsia="ru-RU"/>
              </w:rPr>
              <w:t>Подрядчик должен: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ind w:left="0" w:firstLine="38"/>
              <w:jc w:val="both"/>
              <w:rPr/>
            </w:pPr>
            <w:r>
              <w:rPr>
                <w:lang w:eastAsia="ru-RU"/>
              </w:rPr>
              <w:t>назначить из числа своих работников представителя для оперативного рассмотрения и решения технических и организационных вопросов, связанных с выполнением Работ, а также ответственного за соблюдение норм и правил в области охраны труда, пожарной и промышленной безопасности в месте производства Работ. Полномочия указанного представителя должны быть подтверждены надлежащим образом оформленным документом, передаваемым Заказчику по его письменному запросу;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ind w:left="0" w:hanging="0"/>
              <w:jc w:val="both"/>
              <w:rPr/>
            </w:pPr>
            <w:r>
              <w:rPr>
                <w:lang w:eastAsia="ru-RU"/>
              </w:rPr>
              <w:t>принять у Заказчика техническую (при необходимости) и иную документацию;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ind w:left="0" w:hanging="0"/>
              <w:jc w:val="both"/>
              <w:rPr/>
            </w:pPr>
            <w:r>
              <w:rPr>
                <w:lang w:eastAsia="ru-RU"/>
              </w:rPr>
              <w:t>обеспечить выполнение всех необходимых мероприятий по охране труда, пожарной и промышленной безопасности, охране окружающей среды в соответствии с законодательством РФ, ЛНА Заказчика и</w:t>
            </w:r>
            <w:r>
              <w:rPr/>
              <w:t xml:space="preserve"> </w:t>
            </w:r>
            <w:r>
              <w:rPr>
                <w:lang w:eastAsia="ru-RU"/>
              </w:rPr>
              <w:t>Филиала ПАО «РусГидро» - «Саратовская ГЭС»;</w:t>
            </w:r>
          </w:p>
          <w:p>
            <w:pPr>
              <w:pStyle w:val="113"/>
              <w:widowControl w:val="false"/>
              <w:numPr>
                <w:ilvl w:val="0"/>
                <w:numId w:val="9"/>
              </w:numPr>
              <w:tabs>
                <w:tab w:val="clear" w:pos="709"/>
                <w:tab w:val="left" w:pos="373" w:leader="none"/>
              </w:tabs>
              <w:spacing w:lineRule="auto" w:line="240" w:before="0" w:after="0"/>
              <w:ind w:left="0" w:hanging="0"/>
              <w:contextualSpacing w:val="false"/>
              <w:rPr/>
            </w:pPr>
            <w:r>
              <w:rPr>
                <w:lang w:eastAsia="ru-RU"/>
              </w:rPr>
              <w:t>обеспечить наличие собственной площадки для размещения и хранения закупаемой продукции и материалов;</w:t>
            </w:r>
          </w:p>
          <w:p>
            <w:pPr>
              <w:pStyle w:val="113"/>
              <w:widowControl w:val="false"/>
              <w:numPr>
                <w:ilvl w:val="0"/>
                <w:numId w:val="9"/>
              </w:numPr>
              <w:tabs>
                <w:tab w:val="clear" w:pos="709"/>
                <w:tab w:val="left" w:pos="373" w:leader="none"/>
              </w:tabs>
              <w:spacing w:lineRule="auto" w:line="240" w:before="0" w:after="0"/>
              <w:ind w:left="0" w:hanging="0"/>
              <w:contextualSpacing w:val="false"/>
              <w:rPr/>
            </w:pPr>
            <w:r>
              <w:rPr>
                <w:lang w:eastAsia="ru-RU"/>
              </w:rPr>
              <w:t>проводить совместные технические совещания с участием служб Заказчика по вопросам организации и осуществления строительного контроля, технического надзора за ходом этапов работ;</w:t>
            </w:r>
          </w:p>
          <w:p>
            <w:pPr>
              <w:pStyle w:val="113"/>
              <w:widowControl w:val="false"/>
              <w:numPr>
                <w:ilvl w:val="0"/>
                <w:numId w:val="9"/>
              </w:numPr>
              <w:tabs>
                <w:tab w:val="clear" w:pos="709"/>
                <w:tab w:val="left" w:pos="373" w:leader="none"/>
              </w:tabs>
              <w:spacing w:lineRule="auto" w:line="240" w:before="0" w:after="0"/>
              <w:ind w:left="0" w:hanging="0"/>
              <w:contextualSpacing w:val="false"/>
              <w:rPr/>
            </w:pPr>
            <w:r>
              <w:rPr>
                <w:lang w:eastAsia="ru-RU"/>
              </w:rPr>
              <w:t>обеспечить подготовку объекта к сдаче-приёмке, демонтажу временных конструкций, защитных ограждений, вывоз с территории оборудования, инструмента, строительного и бытового мусора, уборку объекта.</w:t>
            </w:r>
          </w:p>
          <w:p>
            <w:pPr>
              <w:pStyle w:val="113"/>
              <w:widowControl w:val="false"/>
              <w:numPr>
                <w:ilvl w:val="0"/>
                <w:numId w:val="9"/>
              </w:numPr>
              <w:tabs>
                <w:tab w:val="clear" w:pos="709"/>
                <w:tab w:val="left" w:pos="373" w:leader="none"/>
              </w:tabs>
              <w:spacing w:lineRule="auto" w:line="240" w:before="0" w:after="0"/>
              <w:ind w:left="0" w:hanging="0"/>
              <w:contextualSpacing w:val="false"/>
              <w:rPr/>
            </w:pPr>
            <w:r>
              <w:rPr>
                <w:lang w:eastAsia="ru-RU"/>
              </w:rPr>
              <w:t>согласовать со службой эксплуатации Саратовской ГЭС места подключения временных коммуникаций (технические условия на подключения выдаются после получения от Подрядчика официального запроса с указанием потребных ресурсов в количественных и качественных показателях);</w:t>
            </w:r>
          </w:p>
          <w:p>
            <w:pPr>
              <w:pStyle w:val="113"/>
              <w:widowControl w:val="false"/>
              <w:numPr>
                <w:ilvl w:val="0"/>
                <w:numId w:val="9"/>
              </w:numPr>
              <w:tabs>
                <w:tab w:val="clear" w:pos="709"/>
                <w:tab w:val="left" w:pos="373" w:leader="none"/>
              </w:tabs>
              <w:spacing w:lineRule="auto" w:line="240" w:before="0" w:after="0"/>
              <w:ind w:left="0" w:hanging="0"/>
              <w:contextualSpacing w:val="false"/>
              <w:rPr/>
            </w:pPr>
            <w:r>
              <w:rPr>
                <w:lang w:eastAsia="ru-RU"/>
              </w:rPr>
              <w:t>технический контроль должен включать в себя надзор за правильностью и последовательностью выполнения отдельных технологических операций (этапов);</w:t>
            </w:r>
          </w:p>
          <w:p>
            <w:pPr>
              <w:pStyle w:val="113"/>
              <w:widowControl w:val="false"/>
              <w:numPr>
                <w:ilvl w:val="0"/>
                <w:numId w:val="9"/>
              </w:numPr>
              <w:tabs>
                <w:tab w:val="clear" w:pos="709"/>
                <w:tab w:val="left" w:pos="373" w:leader="none"/>
              </w:tabs>
              <w:spacing w:lineRule="auto" w:line="240" w:before="0" w:after="0"/>
              <w:ind w:left="0" w:hanging="0"/>
              <w:contextualSpacing w:val="false"/>
              <w:rPr/>
            </w:pPr>
            <w:r>
              <w:rPr>
                <w:lang w:eastAsia="ru-RU"/>
              </w:rPr>
              <w:t>приёмочный контроль, перечень этапов и видов Работ, подлежащих приёмке, должен быть предварительно согласован с Заказчиком.</w:t>
            </w:r>
          </w:p>
          <w:p>
            <w:pPr>
              <w:pStyle w:val="113"/>
              <w:widowControl w:val="false"/>
              <w:numPr>
                <w:ilvl w:val="0"/>
                <w:numId w:val="9"/>
              </w:numPr>
              <w:tabs>
                <w:tab w:val="clear" w:pos="709"/>
                <w:tab w:val="left" w:pos="373" w:leader="none"/>
              </w:tabs>
              <w:spacing w:lineRule="auto" w:line="240" w:before="0" w:after="0"/>
              <w:ind w:left="0" w:hanging="0"/>
              <w:contextualSpacing w:val="false"/>
              <w:rPr>
                <w:b/>
                <w:lang w:eastAsia="ru-RU"/>
              </w:rPr>
            </w:pPr>
            <w:r>
              <w:rPr>
                <w:lang w:eastAsia="ru-RU"/>
              </w:rPr>
              <w:t>передача по трёх-стороннему акту приёмки-передачи на склад Заказчика</w:t>
            </w:r>
            <w:r>
              <w:rPr/>
              <w:t xml:space="preserve"> (</w:t>
            </w:r>
            <w:r>
              <w:rPr>
                <w:lang w:eastAsia="ru-RU"/>
              </w:rPr>
              <w:t>Саратовской ГЭС) возможного демонтированного оборудования и   материалов.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2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>Организационно-технические мероприятия по допуску персонала Подрядчика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9"/>
                <w:tab w:val="left" w:pos="37" w:leader="none"/>
              </w:tabs>
              <w:ind w:left="0" w:hanging="0"/>
              <w:jc w:val="both"/>
              <w:rPr/>
            </w:pPr>
            <w:r>
              <w:rPr>
                <w:lang w:eastAsia="ru-RU"/>
              </w:rPr>
              <w:t xml:space="preserve">Допуск персонала Подрядчика для выполнения Работ осуществляется в соответствии с Регламентом процесса «Допуск персонала подрядных организаций на объекты ПАО «РусГидро» (утв. приказом ОАО «РусГидро» №82 от 04.02.2022г)» с обязательным оформлением необходимых нарядов-допусков. 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7" w:leader="none"/>
              </w:tabs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Подготовку рабочих мест и допуск к выполнению работ выполняет персонал Саратовской ГЭС.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7" w:leader="none"/>
              </w:tabs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spacing w:lineRule="auto" w:line="240" w:before="0" w:after="0"/>
              <w:ind w:left="0" w:hanging="0"/>
              <w:contextualSpacing w:val="false"/>
              <w:rPr>
                <w:lang w:val="en-US" w:eastAsia="ru-RU"/>
              </w:rPr>
            </w:pPr>
            <w:r>
              <w:rPr>
                <w:lang w:val="en-US" w:eastAsia="ru-RU"/>
              </w:rPr>
              <w:t>1.3.</w:t>
            </w:r>
          </w:p>
        </w:tc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37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Требования к применяемым при выполнении работ оборудованию, материалам, -аппаратным средствам: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ind w:left="0" w:firstLine="38"/>
              <w:rPr>
                <w:lang w:val="en-US" w:eastAsia="ru-RU"/>
              </w:rPr>
            </w:pPr>
            <w:r>
              <w:rPr>
                <w:lang w:val="en-US" w:eastAsia="ru-RU"/>
              </w:rPr>
              <w:t>Основное оборудование: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7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Для подготовки поверхности (в зависимости от объёма и характера работ) применить: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ind w:left="0" w:firstLine="38"/>
              <w:rPr>
                <w:lang w:eastAsia="ru-RU"/>
              </w:rPr>
            </w:pPr>
            <w:r>
              <w:rPr>
                <w:lang w:eastAsia="ru-RU"/>
              </w:rPr>
              <w:t>абразивные машинки (угловая шлифовальная машина);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ind w:left="0" w:firstLine="38"/>
              <w:rPr>
                <w:lang w:eastAsia="ru-RU"/>
              </w:rPr>
            </w:pPr>
            <w:r>
              <w:rPr>
                <w:lang w:eastAsia="ru-RU"/>
              </w:rPr>
              <w:t xml:space="preserve">пескоструйные установки (для очистки от ржавчины, старой краски, окалины); 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ind w:left="0" w:firstLine="38"/>
              <w:rPr>
                <w:lang w:eastAsia="ru-RU"/>
              </w:rPr>
            </w:pPr>
            <w:r>
              <w:rPr>
                <w:lang w:eastAsia="ru-RU"/>
              </w:rPr>
              <w:t>металлические щётки, скребки.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7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Работы по обеспыливанию выполнить с использованием: промышленного пылесоса или обдува чистым (без капельной влаги и масла) сжатым воздухом.</w:t>
            </w:r>
            <w:r>
              <w:rPr/>
              <w:t xml:space="preserve"> </w:t>
            </w:r>
            <w:r>
              <w:rPr>
                <w:sz w:val="24"/>
                <w:szCs w:val="24"/>
                <w:lang w:eastAsia="ru-RU"/>
              </w:rPr>
              <w:t>Требования к качеству воздуха должны соответствовать ГОСТ 9.010.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7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Для нанесения ЛКП: пневматическое или безвоздушное распыление, кисть для покраски.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7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Оборудование должно было исправным, а параметры (давление, вязкость) соответствовать техдокументации на конкретный материал.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9"/>
                <w:tab w:val="left" w:pos="37" w:leader="none"/>
              </w:tabs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Вспомогательное оборудование: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9"/>
                <w:tab w:val="left" w:pos="37" w:leader="none"/>
              </w:tabs>
              <w:ind w:left="0" w:firstLine="38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ёмкости для смешивания компонентов; 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9"/>
                <w:tab w:val="left" w:pos="37" w:leader="none"/>
              </w:tabs>
              <w:ind w:left="0" w:firstLine="38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фильтры (например, сито для процеживания ЛКМ перед нанесением), средства индивидуальной защиты (СИЗ) для работников (шлемы с подачей воздуха при абразивоструйной обработке, спецодежда, не оставляющая ворса).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7" w:leader="none"/>
              </w:tabs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Требования к материалам: качество материалов должно подтверждаться сертификатами качества заводов-изготовителей. 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7" w:leader="none"/>
              </w:tabs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Для проведения работ доставку материалы и комплектующие осуществлять: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9"/>
                <w:tab w:val="left" w:pos="37" w:leader="none"/>
              </w:tabs>
              <w:ind w:left="0" w:firstLine="38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в соответствии с потребностью производства работ; 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7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Все доставляемые и применяемые материалы (комплектующие) должны быть новыми и не использованными ранее.  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9"/>
                <w:tab w:val="left" w:pos="37" w:leader="none"/>
              </w:tabs>
              <w:ind w:left="720" w:hanging="720"/>
              <w:jc w:val="both"/>
              <w:rPr>
                <w:lang w:eastAsia="ru-RU"/>
              </w:rPr>
            </w:pPr>
            <w:r>
              <w:rPr>
                <w:lang w:eastAsia="ru-RU"/>
              </w:rPr>
              <w:t>Абразивные материалы должен соответствовать объёму выполняемых работ и стандартам (ГОСТ 11964, ГОСТ Р 52381).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9"/>
                <w:tab w:val="left" w:pos="37" w:leader="none"/>
              </w:tabs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Растворители и разбавители: После очистки поверхность обеспылить и обезжирить растворителями (Уайт-спирит, Р-4, Р-646 и др.). Состав растворителя для разбавления ЛКМ должен точно совпадать с тем, что указан в технической документации на конкретный ЛКМ.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7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Всё оборудование и материалы, в том числе СИЗ и СИЗОД необходимое для выполнения работ, согласно настоящего ТЗ, предоставляется Подрядчиком. Перечень необходимого оборудования и материалов, предварительно согласовывается с Заказчиком до начала выполнения работ.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7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Использование материалов не соответствующих ведомостям объёмов работ, но схожих по своим свойствам и техническим характеристикам допускается, только при письменном согласовании с Заказчиком и Филиалом ПАО «РусГидро» - «Саратовская ГЭС».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7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Качество материалов должно подтверждаться сертификатами качества заводов-изготовителей. 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9"/>
                <w:tab w:val="left" w:pos="37" w:leader="none"/>
              </w:tabs>
              <w:ind w:left="0" w:hanging="461"/>
              <w:rPr>
                <w:lang w:eastAsia="ru-RU"/>
              </w:rPr>
            </w:pPr>
            <w:r>
              <w:rPr>
                <w:lang w:eastAsia="ru-RU"/>
              </w:rPr>
              <w:t>Для проведения работ доставку материалы и комплектующие осуществлять: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9"/>
                <w:tab w:val="left" w:pos="36" w:leader="none"/>
              </w:tabs>
              <w:ind w:left="399" w:hanging="399"/>
              <w:rPr>
                <w:lang w:eastAsia="ru-RU"/>
              </w:rPr>
            </w:pPr>
            <w:r>
              <w:rPr>
                <w:lang w:eastAsia="ru-RU"/>
              </w:rPr>
              <w:t>в соответствии с потребностью производства работ.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spacing w:lineRule="auto" w:line="240" w:before="0" w:after="0"/>
              <w:ind w:left="-246" w:hanging="0"/>
              <w:contextualSpacing w:val="false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1.3.1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 xml:space="preserve">Требования к используемым материалам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>
                <w:lang w:eastAsia="ru-RU"/>
              </w:rPr>
              <w:t>Поставка материалов, необходимых для выполнения работ, закупаются Подрядчиком  самостоятельно.</w:t>
              <w:br/>
              <w:t>Все применяемые материалы должны быть новыми и не использованными ранее.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spacing w:lineRule="auto" w:line="240" w:before="0" w:after="0"/>
              <w:ind w:left="-246" w:hanging="0"/>
              <w:contextualSpacing w:val="false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1.3.2.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lang w:val="en-US"/>
              </w:rPr>
            </w:pPr>
            <w:r>
              <w:rPr>
                <w:sz w:val="24"/>
                <w:szCs w:val="24"/>
                <w:lang w:eastAsia="ru-RU"/>
              </w:rPr>
              <w:t xml:space="preserve">Давальческие материалы и </w:t>
            </w:r>
            <w:r>
              <w:rPr>
                <w:sz w:val="24"/>
                <w:szCs w:val="24"/>
                <w:lang w:val="en-US" w:eastAsia="ru-RU"/>
              </w:rPr>
              <w:t>оборудование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 xml:space="preserve">Заказчик не предоставляет Подрядчику оборудование и материалы в качестве давальческих. 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1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/>
            </w:pPr>
            <w:r>
              <w:rPr>
                <w:b/>
                <w:sz w:val="24"/>
                <w:szCs w:val="24"/>
                <w:lang w:eastAsia="ru-RU"/>
              </w:rPr>
              <w:t>Требования к контролю качества работ и материалов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4" w:leader="none"/>
              </w:tabs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>На доставляемые материалы и комплектующие должны быть предоставлены заводские паспорта, сертификаты качества, техническая документация в полном объёме на бумажном носителе (2 экземпляр) и электронном носителе (1 экземпляр).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564" w:leader="none"/>
              </w:tabs>
              <w:ind w:left="0" w:hanging="0"/>
              <w:jc w:val="both"/>
              <w:rPr/>
            </w:pPr>
            <w:r>
              <w:rPr>
                <w:lang w:eastAsia="ru-RU"/>
              </w:rPr>
              <w:t>Заказчик вправе передавать Подрядчику материалы и оборудование в качестве дополнительных давальческих, по письменному согласованию сторон, при следующих случаях: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ind w:left="0" w:hanging="0"/>
              <w:jc w:val="both"/>
              <w:rPr/>
            </w:pPr>
            <w:r>
              <w:rPr>
                <w:lang w:eastAsia="ru-RU"/>
              </w:rPr>
              <w:t>в случае несвоевременного приобретения Подрядчиком материалов или отсутствием необходимого для выполнения работ оборудования (при наличии), с последующим восполнением использованных материалов и комплектующих за счёт средств Подрядчика.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4" w:leader="none"/>
              </w:tabs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>Подрядчик должен обеспечить входной контроль поступающих материалов, с оформлением акта входного контроля и предоставлением его Заказчику.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4" w:leader="none"/>
              </w:tabs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 xml:space="preserve">Входной контроль поступающих материалов должен включать проверку: 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73" w:leader="none"/>
              </w:tabs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>а) наличия соответствующих сертификатов;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73" w:leader="none"/>
              </w:tabs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 xml:space="preserve">б) наличия и надлежащего заполнения документа о качестве и соответствии приведённых в нем данных - характеристикам, установленным в нормативном документе, регламентирующем технические требования к данной продукции; 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73" w:leader="none"/>
              </w:tabs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 xml:space="preserve">в) наличия маркировки, сохранности целостности упаковки, наличия и сохранности защитных и окрасочных покрытий и т.п.; 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73" w:leader="none"/>
              </w:tabs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 xml:space="preserve">г) правильности складирования и хранения; 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73" w:leader="none"/>
              </w:tabs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 xml:space="preserve">д) комплектность поставляемых материалов. 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2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>Контроль качества используемы материалов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>Подрядчик должен обеспечить входной контроль поступающих материалов, включающий в себя проверку:</w:t>
            </w:r>
          </w:p>
          <w:p>
            <w:pPr>
              <w:pStyle w:val="113"/>
              <w:widowControl w:val="false"/>
              <w:numPr>
                <w:ilvl w:val="0"/>
                <w:numId w:val="13"/>
              </w:numPr>
              <w:spacing w:lineRule="auto" w:line="240" w:before="0" w:after="0"/>
              <w:ind w:left="0" w:firstLine="28"/>
              <w:contextualSpacing w:val="false"/>
              <w:rPr/>
            </w:pPr>
            <w:r>
              <w:rPr>
                <w:lang w:eastAsia="ru-RU"/>
              </w:rPr>
              <w:t>наличия соответствующих сертификатов в соответствии с требованиями постановления Правительства РФ от 23.12.2021г. №2425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РФ от 31.12.2020г. №2467 и признании утратившими силу некоторых актов Правительства РФ";</w:t>
            </w:r>
          </w:p>
          <w:p>
            <w:pPr>
              <w:pStyle w:val="113"/>
              <w:widowControl w:val="false"/>
              <w:numPr>
                <w:ilvl w:val="0"/>
                <w:numId w:val="13"/>
              </w:numPr>
              <w:spacing w:lineRule="auto" w:line="240" w:before="0" w:after="0"/>
              <w:ind w:left="0" w:hanging="0"/>
              <w:contextualSpacing w:val="false"/>
              <w:rPr/>
            </w:pPr>
            <w:r>
              <w:rPr>
                <w:lang w:eastAsia="ru-RU"/>
              </w:rPr>
              <w:t>наличия и надлежащее заполнение документа о качестве и соответствии приведённых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>
            <w:pPr>
              <w:pStyle w:val="113"/>
              <w:widowControl w:val="false"/>
              <w:numPr>
                <w:ilvl w:val="0"/>
                <w:numId w:val="13"/>
              </w:numPr>
              <w:spacing w:lineRule="auto" w:line="240" w:before="0" w:after="0"/>
              <w:ind w:left="0" w:hanging="0"/>
              <w:contextualSpacing w:val="false"/>
              <w:rPr/>
            </w:pPr>
            <w:r>
              <w:rPr>
                <w:lang w:eastAsia="ru-RU"/>
              </w:rPr>
              <w:t>наличия маркировки, сохранности упаковки, наличия и сохранности защитных и окрасочных покрытий и т.п.;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ind w:left="0" w:hanging="0"/>
              <w:rPr/>
            </w:pPr>
            <w:r>
              <w:rPr>
                <w:lang w:eastAsia="ru-RU"/>
              </w:rPr>
              <w:t>комплектности поставляемых материалов.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1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Требования к персоналу Подрядчика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2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>Требования к персоналу Подрядчика выполняющего Работу, непосредственно связанную с обеспечением безопасности объектов топливно-энергетического комплекса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37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Подрядчик в </w:t>
            </w:r>
            <w:r>
              <w:rPr>
                <w:bCs/>
                <w:sz w:val="24"/>
                <w:szCs w:val="24"/>
                <w:lang w:eastAsia="ru-RU"/>
              </w:rPr>
              <w:t>соответствии</w:t>
            </w:r>
            <w:r>
              <w:rPr>
                <w:sz w:val="24"/>
                <w:szCs w:val="24"/>
                <w:lang w:eastAsia="ru-RU"/>
              </w:rPr>
              <w:t xml:space="preserve"> с перечнем сведений (утв. постановлением Правительства РФ от 09.11.2022г. №2011), указанных в ст.10 ФЗ "О безопасности объектов топливно-энергетического комплекса" должен предоставить сведения на лиц, привлекаемых к выполнению работ.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2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>Квалификация персонала Подрядчика, привлекаемого к выполнению Работ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37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должна иметь организационную структуру, которая позволяет   обеспечить   квалифицированное   выполнение   его технических функций, организовать и осуществить в нужные сроки, необходимый объем указанных работ.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7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Допускать к выполнению работ, годный по состоянию здоровья, обеспеченный в соответствии с требованиями действующих НТД спецодеждой, спец-обувью   и   средствами   индивидуальной защиты.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7" w:leader="none"/>
              </w:tabs>
              <w:spacing w:lineRule="auto" w:line="240"/>
              <w:ind w:hanging="0"/>
              <w:jc w:val="left"/>
              <w:rPr/>
            </w:pPr>
            <w:r>
              <w:rPr>
                <w:sz w:val="24"/>
                <w:szCs w:val="24"/>
                <w:lang w:eastAsia="ru-RU"/>
              </w:rPr>
              <w:t>Выполнение работ должно осуществляться силами:</w:t>
            </w:r>
          </w:p>
          <w:p>
            <w:pPr>
              <w:pStyle w:val="113"/>
              <w:widowControl w:val="false"/>
              <w:numPr>
                <w:ilvl w:val="0"/>
                <w:numId w:val="15"/>
              </w:numPr>
              <w:spacing w:lineRule="auto" w:line="240" w:before="0" w:after="0"/>
              <w:ind w:left="0" w:firstLine="35"/>
              <w:contextualSpacing w:val="false"/>
              <w:rPr/>
            </w:pPr>
            <w:r>
              <w:rPr>
                <w:lang w:eastAsia="ru-RU"/>
              </w:rPr>
              <w:t>рабочий персонал с группами по электробезопасности (не ниже 3 группы) - не менее 6-8 человек;</w:t>
            </w:r>
          </w:p>
          <w:p>
            <w:pPr>
              <w:pStyle w:val="113"/>
              <w:widowControl w:val="false"/>
              <w:numPr>
                <w:ilvl w:val="0"/>
                <w:numId w:val="15"/>
              </w:numPr>
              <w:spacing w:lineRule="auto" w:line="240" w:before="0" w:after="0"/>
              <w:ind w:left="0" w:hanging="0"/>
              <w:contextualSpacing w:val="false"/>
              <w:rPr/>
            </w:pPr>
            <w:r>
              <w:rPr>
                <w:lang w:eastAsia="ru-RU"/>
              </w:rPr>
              <w:t>административно-технический персонал с указанием групп по электробезопасности (не ниже 4 группы) – не менее 2-х человек;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>До начала проведения работ, в рамках исполнения договора, после его заключения, Подрядчик предоставляет список персонала с указанием сведений о квалификации персонала, разряде и группе по электробезопасности с приложением копий удостоверений на производство специальных видов работ (грузоподъёмных, работ с электро - и пневмоинструментом) (возможно совмещение специальностей).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9"/>
                <w:tab w:val="left" w:pos="0" w:leader="none"/>
              </w:tabs>
              <w:ind w:left="0" w:hanging="0"/>
              <w:jc w:val="both"/>
              <w:rPr/>
            </w:pPr>
            <w:r>
              <w:rPr>
                <w:lang w:eastAsia="ru-RU"/>
              </w:rPr>
              <w:t>наличие квалифицированного персонала с правом проведения работ на высоте;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9"/>
                <w:tab w:val="left" w:pos="0" w:leader="none"/>
              </w:tabs>
              <w:ind w:left="0" w:hanging="0"/>
              <w:jc w:val="both"/>
              <w:rPr/>
            </w:pPr>
            <w:r>
              <w:rPr>
                <w:lang w:eastAsia="ru-RU"/>
              </w:rPr>
              <w:t>наличие квалифицированного персонала с правом работать с подъёмными механизмами при погрузке и выгрузке поставляемого для работ оборудования и материалов.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9"/>
                <w:tab w:val="left" w:pos="0" w:leader="none"/>
              </w:tabs>
              <w:ind w:left="0" w:hanging="0"/>
              <w:jc w:val="both"/>
              <w:rPr/>
            </w:pPr>
            <w:r>
              <w:rPr>
                <w:lang w:eastAsia="ru-RU"/>
              </w:rPr>
              <w:t>лицо, ответственное за безопасное производство - не менее 1 (одного) человека;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9"/>
                <w:tab w:val="left" w:pos="35" w:leader="none"/>
              </w:tabs>
              <w:ind w:left="28" w:hanging="0"/>
              <w:jc w:val="both"/>
              <w:rPr/>
            </w:pPr>
            <w:r>
              <w:rPr>
                <w:lang w:eastAsia="ru-RU"/>
              </w:rPr>
              <w:t>стропальщик/такелажник - не менее 2 (двух) человек;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4" w:leader="none"/>
              </w:tabs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>Соответствие требованию, Подрядчик должен подтвердить на стадии заключения договора, предоставлением сведений о персонале с правом доступа в электроустановки до 1000В, с указанием групп по электробезопасности и удостоверений с приложением подтверждающих документов (копий удостоверений и протоколы о проверке знаний). Предоставлением списка персонала, участвующего в выполнении работ с указанием квалификации и стажем работы по профессии.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7" w:leader="none"/>
                <w:tab w:val="left" w:pos="428" w:leader="none"/>
              </w:tabs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>Предоставление списка персонала, имеющего право быть ответственными лицами при выполнении работ по наряду-допуску или распоряжению согласно Приказу Минтруда и социальной защиты, РФ от 15.12.2020г. №903н «Об утверждении Правил по охране труда при эксплуатации электроустановок».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7" w:leader="none"/>
                <w:tab w:val="left" w:pos="428" w:leader="none"/>
              </w:tabs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>Предоставление списка квалифицированного персонала за 10 (десять) рабочих дней до даты начала производства Работ.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7" w:leader="none"/>
                <w:tab w:val="left" w:pos="173" w:leader="none"/>
              </w:tabs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Доставки   персонала Подрядчика до   объекта   и организация рабочих мест, а также доставка с места выполнения Работ лежит в зоне ответственности Подрядчика.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1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/>
            </w:pPr>
            <w:r>
              <w:rPr>
                <w:b/>
                <w:sz w:val="24"/>
                <w:szCs w:val="24"/>
                <w:lang w:eastAsia="ru-RU"/>
              </w:rPr>
              <w:t>Требования к безопасности работ и охране труда</w:t>
            </w:r>
          </w:p>
          <w:p>
            <w:pPr>
              <w:pStyle w:val="113"/>
              <w:widowControl w:val="false"/>
              <w:tabs>
                <w:tab w:val="clear" w:pos="709"/>
                <w:tab w:val="left" w:pos="373" w:leader="none"/>
              </w:tabs>
              <w:spacing w:lineRule="auto" w:line="240" w:before="0" w:after="0"/>
              <w:ind w:left="0" w:hanging="0"/>
              <w:contextualSpacing w:val="false"/>
              <w:rPr/>
            </w:pPr>
            <w:r>
              <w:rPr>
                <w:lang w:eastAsia="ru-RU"/>
              </w:rPr>
              <w:t>Технические и организационные возможности, комплектность персонала, безопасность производства работ должны соответствовать характеру выполняемых работ.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2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/>
            </w:pPr>
            <w:r>
              <w:rPr>
                <w:sz w:val="24"/>
                <w:szCs w:val="24"/>
                <w:lang w:eastAsia="ru-RU"/>
              </w:rPr>
              <w:t>Требования к безопасности выполняемых Работ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/>
            </w:pPr>
            <w:r>
              <w:rPr>
                <w:sz w:val="24"/>
                <w:szCs w:val="24"/>
                <w:lang w:eastAsia="ru-RU"/>
              </w:rPr>
              <w:t>Подрядчик должен:</w:t>
            </w:r>
          </w:p>
          <w:p>
            <w:pPr>
              <w:pStyle w:val="113"/>
              <w:widowControl w:val="false"/>
              <w:numPr>
                <w:ilvl w:val="0"/>
                <w:numId w:val="17"/>
              </w:numPr>
              <w:spacing w:lineRule="auto" w:line="240" w:before="0" w:after="0"/>
              <w:ind w:left="0" w:hanging="0"/>
              <w:contextualSpacing w:val="false"/>
              <w:rPr/>
            </w:pPr>
            <w:r>
              <w:rPr>
                <w:lang w:eastAsia="ru-RU"/>
              </w:rPr>
              <w:t xml:space="preserve">обеспечить соблюдение на территории объектах Саратовской ГЭС действующих требований по охране труда, охраны окружающей   среды, промышленной   и   пожарной   безопасности, пропускного   и   внутри-объектового   режима, действующих   на территории Саратовской ГЭС, нести ответственность за допущенные по вине Подрядчика аварийные   ситуации, согласно   действующего законодательства РФ.  </w:t>
            </w:r>
          </w:p>
          <w:p>
            <w:pPr>
              <w:pStyle w:val="113"/>
              <w:widowControl w:val="false"/>
              <w:spacing w:lineRule="auto" w:line="240" w:before="0" w:after="0"/>
              <w:ind w:left="0" w:hanging="0"/>
              <w:contextualSpacing w:val="false"/>
              <w:rPr/>
            </w:pPr>
            <w:r>
              <w:rPr>
                <w:lang w:eastAsia="ru-RU"/>
              </w:rPr>
              <w:t>Подрядчик обязан:</w:t>
            </w:r>
          </w:p>
          <w:p>
            <w:pPr>
              <w:pStyle w:val="113"/>
              <w:widowControl w:val="false"/>
              <w:numPr>
                <w:ilvl w:val="0"/>
                <w:numId w:val="17"/>
              </w:numPr>
              <w:spacing w:lineRule="auto" w:line="240" w:before="0" w:after="0"/>
              <w:ind w:left="0" w:hanging="0"/>
              <w:contextualSpacing w:val="false"/>
              <w:rPr>
                <w:lang w:eastAsia="ru-RU"/>
              </w:rPr>
            </w:pPr>
            <w:r>
              <w:rPr>
                <w:lang w:eastAsia="ru-RU"/>
              </w:rPr>
              <w:t>направлять на объект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работников.</w:t>
            </w:r>
          </w:p>
          <w:p>
            <w:pPr>
              <w:pStyle w:val="113"/>
              <w:widowControl w:val="false"/>
              <w:spacing w:lineRule="auto" w:line="240" w:before="0" w:after="0"/>
              <w:ind w:left="0" w:hanging="0"/>
              <w:contextualSpacing w:val="false"/>
              <w:rPr/>
            </w:pPr>
            <w:r>
              <w:rPr/>
              <w:t xml:space="preserve">Работа выполняется в соответствии с Регламентом процесса «Допуск персонала подрядных организаций на объекты ПАО «РусГидро» (утв. приказом ОАО «РусГидро» №300 от 28.04.2023г.) с обязательным оформлением необходимых нарядов-допусков и   соблюдения   природоохранного законодательства на объектах ПАО «РусГидро».   </w:t>
            </w:r>
          </w:p>
          <w:p>
            <w:pPr>
              <w:pStyle w:val="113"/>
              <w:widowControl w:val="false"/>
              <w:spacing w:lineRule="auto" w:line="240" w:before="0" w:after="0"/>
              <w:ind w:left="0" w:hanging="0"/>
              <w:contextualSpacing w:val="false"/>
              <w:rPr/>
            </w:pPr>
            <w:r>
              <w:rPr/>
              <w:t>Выполнение работ осуществлять   в   соответствии с требованиями действующего законодательства, установленных НТД. Выполнение не согласованных с Заказчиком и Филиалом ПАО «РусГидро» - «Саратовская ГЭС» работ запрещено.</w:t>
            </w:r>
          </w:p>
          <w:p>
            <w:pPr>
              <w:pStyle w:val="113"/>
              <w:widowControl w:val="false"/>
              <w:spacing w:lineRule="auto" w:line="240" w:before="0" w:after="0"/>
              <w:ind w:left="0" w:hanging="0"/>
              <w:contextualSpacing w:val="false"/>
              <w:rPr/>
            </w:pPr>
            <w:r>
              <w:rPr/>
              <w:t>Установленный противопожарный режим предприятия является обязательным для персонала Подрядчика и должен строго соблюдаться.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0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/>
            </w:pPr>
            <w:r>
              <w:rPr>
                <w:b/>
                <w:bCs/>
                <w:sz w:val="24"/>
                <w:szCs w:val="24"/>
                <w:lang w:eastAsia="ru-RU"/>
              </w:rPr>
              <w:t>Требования к результатам работ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1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/>
            </w:pPr>
            <w:r>
              <w:rPr>
                <w:b/>
                <w:sz w:val="24"/>
                <w:szCs w:val="24"/>
                <w:lang w:eastAsia="ru-RU"/>
              </w:rPr>
              <w:t>Общие требования к результатам работ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Работы считаются выполненными при полном восстановлении защитного покрытия</w:t>
            </w:r>
            <w:r>
              <w:rPr/>
              <w:t xml:space="preserve"> </w:t>
            </w:r>
            <w:r>
              <w:rPr>
                <w:bCs/>
                <w:sz w:val="24"/>
                <w:szCs w:val="24"/>
                <w:lang w:eastAsia="ru-RU"/>
              </w:rPr>
              <w:t>металлоконструкций ограждения и монтажу (при условии ранее демонтированного Подрядчиком) специализированного средства для защиты периметров «Армированная колючая лента АКЛ-600П», а также после приёмки объекта комиссией в составе Заказчика и  Филиала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bCs/>
                <w:sz w:val="24"/>
                <w:szCs w:val="24"/>
                <w:lang w:eastAsia="ru-RU"/>
              </w:rPr>
              <w:t>ПАО «РусГидро» - «Саратовская ГЭС», с оформлением и предоставлением отчётной документации со стороны Подрядчика.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2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/>
            </w:pPr>
            <w:r>
              <w:rPr>
                <w:sz w:val="24"/>
                <w:szCs w:val="24"/>
                <w:lang w:eastAsia="ru-RU"/>
              </w:rPr>
              <w:t>Результат Работ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работ по восстановлению лакокрасочного покрытия металлических поверхностей решетчатой конструкции защитного ограждения щитового отделения нижнего бьефа вдоль автодороги Саратовской ГЭС в соответствии с ВОР (Приложение №1 к настоящему ТЗ)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1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/>
            </w:pPr>
            <w:r>
              <w:rPr>
                <w:b/>
                <w:sz w:val="24"/>
                <w:szCs w:val="24"/>
                <w:lang w:eastAsia="ru-RU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  <w:r>
              <w:rPr>
                <w:rStyle w:val="Style19"/>
                <w:i w:val="false"/>
                <w:sz w:val="24"/>
                <w:szCs w:val="24"/>
                <w:shd w:fill="auto" w:val="clear"/>
                <w:lang w:eastAsia="ru-RU"/>
              </w:rPr>
              <w:t xml:space="preserve"> </w:t>
            </w:r>
          </w:p>
        </w:tc>
      </w:tr>
      <w:tr>
        <w:trPr>
          <w:trHeight w:val="745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2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Металлоконструкция защитного ограждения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Соответствие требованиям: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Обозначить границы работ, посекционно установить защитное ограждение высотой не менее 4,5 м.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Работы проводить посекционно, каждую секцию зачищать и окрашивать отдельно, с соблюдением технологической последовательности (например, сначала вертикальные элементы, затем горизонтальные, стыки между секциями прокрашивать после полного высыхания предыдущей).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 переходе к следующей секции контролировать чистоту рабочего места, чтобы исключить перепыл на уже готовую поверхность.</w:t>
            </w:r>
            <w:r>
              <w:rPr/>
              <w:t xml:space="preserve"> </w:t>
            </w:r>
            <w:r>
              <w:rPr>
                <w:sz w:val="24"/>
                <w:szCs w:val="24"/>
                <w:lang w:eastAsia="ru-RU"/>
              </w:rPr>
              <w:t>Защитное ограждение переместить и установить на следующие границы работ. Работы проводить при сухой погоде и благоприятных условиях (температура воздуха и поверхности выше точки росы, относительная влажность в допустимых пределах) с тщательной подготовкой и соблюдением технологии.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допускается окрашивание по мокрой или отпотевшей поверхности. При образовании конденсата, поверхность осушить нагретым очищенным воздухом до полного удаления влаги.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Нанесение ЛКП на открытом воздухе при выпадении осадков недопустимо. Если осадки всё же случились, покрытие, которое не успело высохнуть до исчезновения отлипа, нужно удалить и нанести заново, предварительно проверив и при необходимости повторно подготовив поверхность.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Соблюдение временного ограничения между подготовкой поверхности и нанесением ЛКМ (на открытом воздухе в сухую погоду промежуток не должен превышать более 3-х часов).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Степень очистки должна регламентироваться как </w:t>
            </w:r>
            <w:r>
              <w:rPr>
                <w:sz w:val="24"/>
                <w:szCs w:val="24"/>
                <w:lang w:val="en-US"/>
              </w:rPr>
              <w:t>Sa</w:t>
            </w:r>
            <w:r>
              <w:rPr>
                <w:sz w:val="24"/>
                <w:szCs w:val="24"/>
              </w:rPr>
              <w:t xml:space="preserve"> 2,5 (по ИСО 8501-1) и не ниже 2-го класса обеспыливания (ИСО 8502-3). На поверхности не должно быть заусенцев, острых кромок радиусом менее 2 мм, сварочных брызг, прижогов, остатков флюса.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Покрытие должно прочно сцепляться с металлической основой. Сцепление с металлической основой, проверить методом решётчатых надрезов (ГОСТ 31149) или методом отрыва (ГОСТ 32299) — значения должны соответствовать нормативным.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способа покрытия, должен соответствовать фактическому состоянию металлоконструкции.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Покрытие должно надёжно защищать металл от проникновения влаги и соответствовать V классу по ГОСТ 9.032. Не допускается наличие пропусков, трещин, пузырей, морщин, потёков, наплывов, сухого распыления.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Наносить слои в соответствии с технологией, соблюдать рекомендованные методы, толщину каждого слоя и время межслойной сушки.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нанесении в два слоя цинконаполненного грунта «Profguard epoxy 0111 Zink» толщина каждого слоя по сухой плёнке (DFT) должна составлять 50–80 мкм. То есть в сумме для двух слоёв 100–160 мкм.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/>
            </w:pPr>
            <w:r>
              <w:rPr>
                <w:sz w:val="24"/>
                <w:szCs w:val="24"/>
              </w:rPr>
              <w:t>При выполнении работ соблюдать технологические параметры: температура воздуха не ниже +5°С; температура поверхности — на 3°С выше точки росы; относительная влажность (не более 80%)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1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/>
            </w:pPr>
            <w:r>
              <w:rPr>
                <w:b/>
                <w:bCs/>
                <w:sz w:val="24"/>
                <w:szCs w:val="24"/>
                <w:lang w:eastAsia="ru-RU"/>
              </w:rPr>
              <w:t>Требования к порядку приёмки результатов Работ</w:t>
            </w:r>
            <w:r>
              <w:rPr>
                <w:rStyle w:val="Style19"/>
                <w:b w:val="false"/>
                <w:bCs/>
                <w:i w:val="false"/>
                <w:sz w:val="24"/>
                <w:szCs w:val="24"/>
                <w:shd w:fill="auto" w:val="clear"/>
                <w:lang w:eastAsia="ru-RU"/>
              </w:rPr>
              <w:t xml:space="preserve"> 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2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Приёмка восстановленного лакокрасочного покрытия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итогам выполненных работ составляется Акт приёмки. В нём фиксируют: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tabs>
                <w:tab w:val="clear" w:pos="709"/>
                <w:tab w:val="left" w:pos="426" w:leader="none"/>
              </w:tabs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соответствие выполненных работ нормативным документам (СП 72.13330.2016, ГОСТы, ISO);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tabs>
                <w:tab w:val="clear" w:pos="709"/>
                <w:tab w:val="left" w:pos="426" w:leader="none"/>
              </w:tabs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результаты всех проведённых проверок (толщина, адгезия, внешний вид);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tabs>
                <w:tab w:val="clear" w:pos="709"/>
                <w:tab w:val="left" w:pos="426" w:leader="none"/>
              </w:tabs>
              <w:ind w:left="0" w:hanging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приложенные протоколы проверок, сертификаты на материалы, акты освидетельствования скрытых работ.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комиссию по приёмке результатов работ, включают представителей Заказчика и</w:t>
            </w:r>
            <w:r>
              <w:rPr/>
              <w:t xml:space="preserve"> </w:t>
            </w:r>
            <w:r>
              <w:rPr>
                <w:sz w:val="24"/>
                <w:szCs w:val="24"/>
                <w:lang w:eastAsia="ru-RU"/>
              </w:rPr>
              <w:t>филиала ПАО «РусГидро» - «Саратовская ГЭС», а при необходимости — производителя ЛКМ или специалистов по антикоррозионной защите.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>После проверки и согласования результатов работ передать Заказчику пакет документов, указанных в п. 2.4 настоящей таблицы.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1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/>
            </w:pPr>
            <w:r>
              <w:rPr>
                <w:b/>
                <w:sz w:val="24"/>
                <w:szCs w:val="24"/>
                <w:lang w:eastAsia="ru-RU"/>
              </w:rPr>
              <w:t>Требования к оформлению документации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ind w:left="0" w:hanging="0"/>
              <w:jc w:val="both"/>
              <w:rPr/>
            </w:pPr>
            <w:r>
              <w:rPr>
                <w:bCs/>
                <w:lang w:eastAsia="ru-RU"/>
              </w:rPr>
              <w:t>Исполнительную документацию в соответствии с Приказом Минстроя РФ № 1026/ПР от 02.12.2022г, в том числе: исполнительные чертежи строительных конструкций; исполнительные схемы, сертификаты, инструкции, паспорта, акты входного контроля качества поставляемых материалов, формуляры и другие документы, удостоверяющие качество материально-технических ресурсов, в том числе полученные от заводов-изготовителей; акты освидетельствования скрытых работ; журнал учёта выполненных работ (по форме КС-6А); журналы ведения работ (общий и специальные журналы выполненных работ, согласно Приказа Минстроя РФ № № 344/ПР от 16.05.2023г);</w:t>
            </w:r>
          </w:p>
          <w:p>
            <w:pPr>
              <w:pStyle w:val="113"/>
              <w:widowControl w:val="false"/>
              <w:numPr>
                <w:ilvl w:val="0"/>
                <w:numId w:val="17"/>
              </w:numPr>
              <w:spacing w:lineRule="auto" w:line="240" w:before="0" w:after="0"/>
              <w:ind w:left="0" w:hanging="0"/>
              <w:contextualSpacing w:val="false"/>
              <w:rPr/>
            </w:pPr>
            <w:r>
              <w:rPr>
                <w:lang w:eastAsia="ru-RU"/>
              </w:rPr>
              <w:t>Отчётные документы по работам представить на бумажном носителе в 3-х экземплярах, на электронном носителе в 1 экземпляре в форматах *.dwg, *.vsd, *. dос, *. хls;</w:t>
            </w:r>
          </w:p>
          <w:p>
            <w:pPr>
              <w:pStyle w:val="113"/>
              <w:widowControl w:val="false"/>
              <w:numPr>
                <w:ilvl w:val="0"/>
                <w:numId w:val="17"/>
              </w:numPr>
              <w:spacing w:lineRule="auto" w:line="240" w:before="0" w:after="0"/>
              <w:ind w:left="0" w:hanging="0"/>
              <w:contextualSpacing w:val="false"/>
              <w:rPr/>
            </w:pPr>
            <w:r>
              <w:rPr>
                <w:lang w:eastAsia="ru-RU"/>
              </w:rPr>
              <w:t>Все документы и техническая документация, имеющие отношение к выполнению Работ, должны быть представлены на русском языке. Если сопроводительная или иная документация, представленная Подрядчиком, написана на иностранном языке, к ней должен прилагаться перевод на русский язык, при этом подлинность подписи переводчика должны быть заверены в установленном законом порядке.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2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/>
            </w:pPr>
            <w:r>
              <w:rPr>
                <w:sz w:val="24"/>
                <w:szCs w:val="24"/>
                <w:lang w:eastAsia="ru-RU"/>
              </w:rPr>
              <w:t>Документы, передаваемые Заказчику по результатам выполненных работ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>Подрядчик обязан одновременно с передачей актов приёмки выполненных работ (по форме КС-2) передать Заказчику «Отчёт о выполненных работах», включая:</w:t>
            </w:r>
          </w:p>
          <w:p>
            <w:pPr>
              <w:pStyle w:val="113"/>
              <w:widowControl w:val="false"/>
              <w:numPr>
                <w:ilvl w:val="0"/>
                <w:numId w:val="18"/>
              </w:numPr>
              <w:spacing w:lineRule="auto" w:line="240" w:before="0" w:after="0"/>
              <w:ind w:left="0" w:hanging="0"/>
              <w:contextualSpacing w:val="false"/>
              <w:rPr/>
            </w:pPr>
            <w:r>
              <w:rPr>
                <w:lang w:eastAsia="ru-RU"/>
              </w:rPr>
              <w:t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      </w:r>
          </w:p>
          <w:p>
            <w:pPr>
              <w:pStyle w:val="113"/>
              <w:widowControl w:val="false"/>
              <w:numPr>
                <w:ilvl w:val="0"/>
                <w:numId w:val="18"/>
              </w:numPr>
              <w:spacing w:lineRule="auto" w:line="240" w:before="0" w:after="0"/>
              <w:ind w:left="0" w:hanging="0"/>
              <w:contextualSpacing w:val="false"/>
              <w:rPr/>
            </w:pPr>
            <w:r>
              <w:rPr>
                <w:lang w:eastAsia="ru-RU"/>
              </w:rPr>
              <w:t>сертификаты, подтверждающие качество и соответствие требованиям НТД материалов (форма завода-изготовителя);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0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/>
            </w:pPr>
            <w:r>
              <w:rPr>
                <w:b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  <w:p>
            <w:pPr>
              <w:pStyle w:val="113"/>
              <w:widowControl w:val="false"/>
              <w:numPr>
                <w:ilvl w:val="0"/>
                <w:numId w:val="18"/>
              </w:numPr>
              <w:spacing w:lineRule="auto" w:line="240" w:before="0" w:after="0"/>
              <w:ind w:left="0" w:firstLine="29"/>
              <w:contextualSpacing w:val="false"/>
              <w:rPr/>
            </w:pPr>
            <w:r>
              <w:rPr>
                <w:lang w:eastAsia="ru-RU"/>
              </w:rPr>
              <w:t>В случае повреждения оборудования, строительных конструкций в ходе выполнения работ Подрядчик обязуется устранить возникшие повреждения за свой счёт в согласованные с Заказчиком и филиалом ПАО «РусГидро» - «Саратовская ГЭС» сроки, но не позднее 15-и календарных дней с момента подписания акта приёмки результатов Работ.</w:t>
            </w:r>
          </w:p>
          <w:p>
            <w:pPr>
              <w:pStyle w:val="113"/>
              <w:widowControl w:val="false"/>
              <w:numPr>
                <w:ilvl w:val="0"/>
                <w:numId w:val="18"/>
              </w:numPr>
              <w:spacing w:lineRule="auto" w:line="240" w:before="0" w:after="0"/>
              <w:ind w:left="0" w:firstLine="29"/>
              <w:contextualSpacing w:val="false"/>
              <w:rPr/>
            </w:pPr>
            <w:r>
              <w:rPr>
                <w:lang w:eastAsia="ru-RU"/>
              </w:rPr>
              <w:t>Подрядчик обязан производить в течение гарантийного периода эксплуатации объекта, устранение всех дефектов своих работ, своими силами и за свой счёт или компенсировать затраты по выполнению таких работ.</w:t>
            </w:r>
          </w:p>
          <w:p>
            <w:pPr>
              <w:pStyle w:val="113"/>
              <w:widowControl w:val="false"/>
              <w:numPr>
                <w:ilvl w:val="0"/>
                <w:numId w:val="18"/>
              </w:numPr>
              <w:spacing w:lineRule="auto" w:line="240" w:before="0" w:after="0"/>
              <w:ind w:left="0" w:firstLine="29"/>
              <w:contextualSpacing w:val="false"/>
              <w:rPr/>
            </w:pPr>
            <w:r>
              <w:rPr>
                <w:lang w:eastAsia="ru-RU"/>
              </w:rPr>
              <w:t>Гарантийный   период   эксплуатации объекта   увеличивается   на   время   простоя оборудования, необходимое на устранение дефекта. Потери от простоя оборудования компенсирует Подрядчик.</w:t>
            </w:r>
          </w:p>
          <w:p>
            <w:pPr>
              <w:pStyle w:val="113"/>
              <w:widowControl w:val="false"/>
              <w:numPr>
                <w:ilvl w:val="0"/>
                <w:numId w:val="18"/>
              </w:numPr>
              <w:spacing w:lineRule="auto" w:line="240" w:before="0" w:after="0"/>
              <w:ind w:left="0" w:firstLine="29"/>
              <w:contextualSpacing w:val="false"/>
              <w:rPr/>
            </w:pPr>
            <w:r>
              <w:rPr>
                <w:lang w:eastAsia="ru-RU"/>
              </w:rPr>
              <w:t xml:space="preserve">Для участия в составлении акта, фиксирующего дефекты, согласования порядка и сроков их устранения Подрядчик обязан направить своего представителя в течение одних суток со дня получения письменного извещения Заказчика. </w:t>
            </w:r>
          </w:p>
          <w:p>
            <w:pPr>
              <w:pStyle w:val="113"/>
              <w:widowControl w:val="false"/>
              <w:numPr>
                <w:ilvl w:val="0"/>
                <w:numId w:val="18"/>
              </w:numPr>
              <w:spacing w:lineRule="auto" w:line="240" w:before="0" w:after="0"/>
              <w:ind w:left="0" w:firstLine="29"/>
              <w:contextualSpacing w:val="false"/>
              <w:rPr/>
            </w:pPr>
            <w:r>
              <w:rPr>
                <w:lang w:eastAsia="ru-RU"/>
              </w:rPr>
              <w:t>Гарантии распространяются на все этапы работы, детали и узлы.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2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keepNext w:val="fals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left"/>
              <w:outlineLvl w:val="2"/>
              <w:rPr/>
            </w:pPr>
            <w:r>
              <w:rPr>
                <w:rFonts w:eastAsia="Times New Roman"/>
                <w:b w:val="false"/>
                <w:lang w:eastAsia="ru-RU"/>
              </w:rPr>
              <w:t>Гарантийный срок на результат Работ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>Гарантийный срок на результат работ должен составлять 36 (тридцать шесть)  месяцев с даты подписания Акта о приёмке выполненных работ  (по форме КС-11).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0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/>
              <w:ind w:hanging="0"/>
              <w:rPr/>
            </w:pPr>
            <w:r>
              <w:rPr>
                <w:b/>
                <w:sz w:val="24"/>
                <w:szCs w:val="24"/>
                <w:lang w:eastAsia="ru-RU"/>
              </w:rPr>
              <w:t>Требования к Подрядчику (и</w:t>
            </w:r>
            <w:r>
              <w:rPr/>
              <w:t xml:space="preserve"> </w:t>
            </w:r>
            <w:r>
              <w:rPr>
                <w:b/>
                <w:sz w:val="24"/>
                <w:szCs w:val="24"/>
                <w:lang w:eastAsia="ru-RU"/>
              </w:rPr>
              <w:t>привлечённых Подрядчиком третьих лиц ) и его обязательствам, влияющим на исполнение договора</w:t>
            </w:r>
          </w:p>
          <w:p>
            <w:pPr>
              <w:pStyle w:val="113"/>
              <w:widowControl w:val="false"/>
              <w:numPr>
                <w:ilvl w:val="0"/>
                <w:numId w:val="18"/>
              </w:numPr>
              <w:spacing w:lineRule="auto" w:line="240" w:before="0" w:after="0"/>
              <w:ind w:left="0" w:hanging="0"/>
              <w:contextualSpacing w:val="false"/>
              <w:rPr/>
            </w:pPr>
            <w:r>
              <w:rPr>
                <w:lang w:eastAsia="ru-RU"/>
              </w:rPr>
              <w:t>Персонал Подрядчика обеспечивает поддержание чистоты на рабочих местах, своевременную уборку ремонтной площадки и ликвидацию отходов по окончании Работ.</w:t>
            </w:r>
          </w:p>
          <w:p>
            <w:pPr>
              <w:pStyle w:val="113"/>
              <w:widowControl w:val="false"/>
              <w:numPr>
                <w:ilvl w:val="0"/>
                <w:numId w:val="18"/>
              </w:numPr>
              <w:tabs>
                <w:tab w:val="clear" w:pos="709"/>
                <w:tab w:val="left" w:pos="426" w:leader="none"/>
              </w:tabs>
              <w:spacing w:lineRule="auto" w:line="240" w:before="0" w:after="0"/>
              <w:ind w:left="0" w:firstLine="29"/>
              <w:contextualSpacing w:val="false"/>
              <w:rPr/>
            </w:pPr>
            <w:r>
              <w:rPr>
                <w:lang w:eastAsia="ru-RU"/>
              </w:rPr>
              <w:t xml:space="preserve">Подрядчик своевременно предупреждает Заказчика о необходимости выполнения дополнительных или ранее неучтённых Работ. </w:t>
            </w:r>
          </w:p>
          <w:p>
            <w:pPr>
              <w:pStyle w:val="113"/>
              <w:widowControl w:val="false"/>
              <w:numPr>
                <w:ilvl w:val="0"/>
                <w:numId w:val="18"/>
              </w:numPr>
              <w:tabs>
                <w:tab w:val="clear" w:pos="709"/>
                <w:tab w:val="left" w:pos="426" w:leader="none"/>
              </w:tabs>
              <w:spacing w:lineRule="auto" w:line="240" w:before="0" w:after="0"/>
              <w:ind w:left="0" w:firstLine="29"/>
              <w:contextualSpacing w:val="false"/>
              <w:rPr/>
            </w:pPr>
            <w:r>
              <w:rPr>
                <w:lang w:eastAsia="ru-RU"/>
              </w:rPr>
              <w:t>Подрядчик обеспечивает сохранность и возврат Заказчику материалов, демонтированного оборудования или его частей (в том числе черных и цветных металлов), выбывших из эксплуатации в результате выполнения Работ, а также выбывших из эксплуатации в результате аварии, повреждения, с внесением соответствующих изменений в перечень Объектов.</w:t>
            </w:r>
          </w:p>
          <w:p>
            <w:pPr>
              <w:pStyle w:val="113"/>
              <w:widowControl w:val="false"/>
              <w:numPr>
                <w:ilvl w:val="0"/>
                <w:numId w:val="18"/>
              </w:numPr>
              <w:tabs>
                <w:tab w:val="clear" w:pos="709"/>
                <w:tab w:val="left" w:pos="426" w:leader="none"/>
              </w:tabs>
              <w:spacing w:lineRule="auto" w:line="240" w:before="0" w:after="0"/>
              <w:ind w:left="0" w:firstLine="29"/>
              <w:contextualSpacing w:val="false"/>
              <w:rPr/>
            </w:pPr>
            <w:r>
              <w:rPr>
                <w:lang w:eastAsia="ru-RU"/>
              </w:rPr>
              <w:t>Подрядчик. еженедельно представляет Заказчику, письменный отчёт о текущем исполнении своих обязательств.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13"/>
              <w:widowControl w:val="false"/>
              <w:numPr>
                <w:ilvl w:val="2"/>
                <w:numId w:val="6"/>
              </w:numPr>
              <w:spacing w:lineRule="auto" w:line="240" w:before="0" w:after="0"/>
              <w:ind w:left="0" w:hanging="0"/>
              <w:contextualSpacing w:val="false"/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>Требования к привлечению Подрядчиком третьих лиц, к выполнению работ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/>
            </w:pPr>
            <w:r>
              <w:rPr>
                <w:sz w:val="24"/>
                <w:szCs w:val="24"/>
                <w:lang w:eastAsia="ru-RU"/>
              </w:rPr>
              <w:t>В случае привлечения к выполнению работ третьих лиц -Подрядчик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данных работ.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Heading1"/>
        <w:keepLines/>
        <w:numPr>
          <w:ilvl w:val="0"/>
          <w:numId w:val="0"/>
        </w:numPr>
        <w:spacing w:lineRule="auto" w:line="240" w:before="0" w:after="0"/>
        <w:ind w:left="4820" w:hanging="4962"/>
        <w:jc w:val="center"/>
        <w:rPr/>
      </w:pPr>
      <w:bookmarkStart w:id="21" w:name="_Toc51339699"/>
      <w:bookmarkStart w:id="22" w:name="_Toc46743519"/>
      <w:bookmarkStart w:id="23" w:name="_Toc54646412"/>
      <w:r>
        <w:rPr>
          <w:rFonts w:ascii="Times New Roman" w:hAnsi="Times New Roman"/>
          <w:sz w:val="24"/>
          <w:szCs w:val="24"/>
          <w:lang w:val="ru-RU"/>
        </w:rPr>
        <w:t>3. Требования к документации по ценообразованию на этапе заключения (исполнения) договора</w:t>
      </w:r>
      <w:bookmarkEnd w:id="23"/>
    </w:p>
    <w:p>
      <w:pPr>
        <w:pStyle w:val="Normal"/>
        <w:spacing w:lineRule="auto" w:line="240"/>
        <w:ind w:hanging="0"/>
        <w:rPr/>
      </w:pPr>
      <w:r>
        <w:rPr>
          <w:sz w:val="24"/>
          <w:szCs w:val="24"/>
        </w:rPr>
        <w:t>Сметную документацию составлять и оформлять в соответствии с требованиями к документации по ценообразованию (Приложение № 3 к ТЗ) с применением конкурсного коэффициента, указанного в заявке П</w:t>
      </w:r>
      <w:bookmarkStart w:id="24" w:name="_GoBack"/>
      <w:bookmarkEnd w:id="24"/>
      <w:r>
        <w:rPr>
          <w:sz w:val="24"/>
          <w:szCs w:val="24"/>
        </w:rPr>
        <w:t>одрядчика, с которым принято решение заключить договор, коэффициент начисляется в каждой локальной смете к итогу.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keepLines/>
        <w:numPr>
          <w:ilvl w:val="0"/>
          <w:numId w:val="0"/>
        </w:numPr>
        <w:spacing w:lineRule="auto" w:line="240" w:before="0" w:after="0"/>
        <w:ind w:left="-284" w:firstLine="284"/>
        <w:rPr/>
      </w:pPr>
      <w:bookmarkStart w:id="25" w:name="_Toc54646413"/>
      <w:r>
        <w:rPr>
          <w:rFonts w:ascii="Times New Roman" w:hAnsi="Times New Roman"/>
          <w:sz w:val="24"/>
          <w:szCs w:val="24"/>
          <w:lang w:val="ru-RU"/>
        </w:rPr>
        <w:t xml:space="preserve">4. </w:t>
      </w:r>
      <w:r>
        <w:rPr>
          <w:rFonts w:ascii="Times New Roman" w:hAnsi="Times New Roman"/>
          <w:sz w:val="24"/>
          <w:szCs w:val="24"/>
        </w:rPr>
        <w:t>Приложения</w:t>
      </w:r>
      <w:bookmarkEnd w:id="21"/>
      <w:bookmarkEnd w:id="22"/>
      <w:bookmarkEnd w:id="25"/>
      <w:r>
        <w:rPr>
          <w:sz w:val="24"/>
          <w:szCs w:val="24"/>
        </w:rPr>
        <w:t xml:space="preserve"> </w:t>
      </w:r>
    </w:p>
    <w:p>
      <w:pPr>
        <w:pStyle w:val="Normal"/>
        <w:tabs>
          <w:tab w:val="clear" w:pos="709"/>
          <w:tab w:val="left" w:pos="7500" w:leader="none"/>
        </w:tabs>
        <w:spacing w:lineRule="auto" w:line="240"/>
        <w:ind w:hanging="0"/>
        <w:rPr/>
      </w:pPr>
      <w:r>
        <w:rPr>
          <w:sz w:val="24"/>
          <w:szCs w:val="24"/>
        </w:rPr>
        <w:t>Приложение № 1 - Ведомость объёмов работ.</w:t>
      </w:r>
    </w:p>
    <w:p>
      <w:pPr>
        <w:pStyle w:val="Normal"/>
        <w:tabs>
          <w:tab w:val="clear" w:pos="709"/>
          <w:tab w:val="left" w:pos="7500" w:leader="none"/>
        </w:tabs>
        <w:spacing w:lineRule="auto" w:line="240"/>
        <w:ind w:hanging="0"/>
        <w:rPr/>
      </w:pPr>
      <w:r>
        <w:rPr>
          <w:sz w:val="24"/>
          <w:szCs w:val="24"/>
        </w:rPr>
        <w:t>Приложение № 2 - Календарный график работ.</w:t>
      </w:r>
    </w:p>
    <w:p>
      <w:pPr>
        <w:pStyle w:val="Normal"/>
        <w:tabs>
          <w:tab w:val="clear" w:pos="709"/>
          <w:tab w:val="left" w:pos="7500" w:leader="none"/>
        </w:tabs>
        <w:spacing w:lineRule="auto" w:line="240"/>
        <w:ind w:hanging="0"/>
        <w:rPr>
          <w:b/>
          <w:sz w:val="24"/>
          <w:szCs w:val="24"/>
        </w:rPr>
      </w:pPr>
      <w:r>
        <w:rPr>
          <w:sz w:val="24"/>
          <w:szCs w:val="24"/>
        </w:rPr>
        <w:t>Приложение № 3 - Требования к оформлению и составлению сметной документации;</w:t>
      </w:r>
    </w:p>
    <w:sectPr>
      <w:headerReference w:type="default" r:id="rId2"/>
      <w:footerReference w:type="default" r:id="rId3"/>
      <w:type w:val="nextPage"/>
      <w:pgSz w:w="11906" w:h="16838"/>
      <w:pgMar w:left="720" w:right="720" w:gutter="0" w:header="850" w:top="907" w:footer="720" w:bottom="77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Symbol">
    <w:charset w:val="01"/>
    <w:family w:val="roman"/>
    <w:pitch w:val="variable"/>
  </w:font>
  <w:font w:name="Tahoma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TimesNewRomanPSMT">
    <w:charset w:val="01"/>
    <w:family w:val="roman"/>
    <w:pitch w:val="variable"/>
  </w:font>
  <w:font w:name="SymbolMT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866888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15</w:t>
        </w:r>
        <w:r>
          <w:rPr/>
          <w:fldChar w:fldCharType="end"/>
        </w:r>
      </w:p>
    </w:sdtContent>
  </w:sdt>
  <w:p>
    <w:pPr>
      <w:pStyle w:val="Footer"/>
      <w:jc w:val="right"/>
      <w:rPr>
        <w:sz w:val="20"/>
        <w:szCs w:val="20"/>
      </w:rPr>
    </w:pPr>
    <w:r>
      <w:rPr>
        <w:sz w:val="20"/>
        <w:szCs w:val="2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lineRule="auto" w:line="240"/>
      <w:ind w:hanging="0"/>
      <w:jc w:val="right"/>
      <w:rPr>
        <w:b/>
        <w:color w:val="767171"/>
        <w:sz w:val="22"/>
        <w:szCs w:val="22"/>
      </w:rPr>
    </w:pPr>
    <w:r>
      <w:rPr>
        <w:b/>
        <w:color w:val="767171"/>
        <w:sz w:val="22"/>
        <w:szCs w:val="2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0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3">
    <w:lvl w:ilvl="0">
      <w:start w:val="1"/>
      <w:numFmt w:val="decimal"/>
      <w:lvlText w:val="Статья 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1185"/>
      </w:pPr>
      <w:rPr>
        <w:sz w:val="24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085"/>
        </w:tabs>
        <w:ind w:left="2085" w:hanging="1185"/>
      </w:pPr>
      <w:rPr>
        <w:sz w:val="24"/>
        <w:b w:val="false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/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/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/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0"/>
        </w:tabs>
        <w:ind w:left="75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5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w="http://schemas.openxmlformats.org/wordprocessingml/2006/main">
  <w:zoom w:percent="140"/>
  <w:displayBackgroundShape/>
  <w:embedSystemFonts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  <w:lang w:val="x-none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lang w:val="x-none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lineRule="auto" w:line="240" w:before="120" w:after="120"/>
      <w:jc w:val="left"/>
      <w:outlineLvl w:val="2"/>
    </w:pPr>
    <w:rPr>
      <w:b/>
      <w:szCs w:val="20"/>
      <w:lang w:val="x-none"/>
    </w:rPr>
  </w:style>
  <w:style w:type="paragraph" w:styleId="Heading4">
    <w:name w:val="Heading 4"/>
    <w:basedOn w:val="Heading3"/>
    <w:next w:val="Normal"/>
    <w:qFormat/>
    <w:pPr>
      <w:numPr>
        <w:ilvl w:val="0"/>
        <w:numId w:val="0"/>
      </w:numPr>
      <w:ind w:firstLine="567"/>
      <w:outlineLvl w:val="3"/>
    </w:pPr>
    <w:rPr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 w:customStyle="1">
    <w:name w:val="WW8Num2z0"/>
    <w:qFormat/>
    <w:rPr>
      <w:rFonts w:ascii="Symbol" w:hAnsi="Symbol" w:cs="Symbol"/>
    </w:rPr>
  </w:style>
  <w:style w:type="character" w:styleId="WW8Num3z0" w:customStyle="1">
    <w:name w:val="WW8Num3z0"/>
    <w:qFormat/>
    <w:rPr>
      <w:rFonts w:ascii="Symbol" w:hAnsi="Symbol" w:cs="Symbol"/>
    </w:rPr>
  </w:style>
  <w:style w:type="character" w:styleId="WW8Num4z0" w:customStyle="1">
    <w:name w:val="WW8Num4z0"/>
    <w:qFormat/>
    <w:rPr>
      <w:rFonts w:ascii="Tahoma" w:hAnsi="Tahoma" w:cs="Times New Roman"/>
    </w:rPr>
  </w:style>
  <w:style w:type="character" w:styleId="WW8Num5z0" w:customStyle="1">
    <w:name w:val="WW8Num5z0"/>
    <w:qFormat/>
    <w:rPr/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8z0" w:customStyle="1">
    <w:name w:val="WW8Num8z0"/>
    <w:qFormat/>
    <w:rPr>
      <w:rFonts w:ascii="Symbol" w:hAnsi="Symbol" w:cs="Symbol"/>
    </w:rPr>
  </w:style>
  <w:style w:type="character" w:styleId="WW8Num9z0" w:customStyle="1">
    <w:name w:val="WW8Num9z0"/>
    <w:qFormat/>
    <w:rPr>
      <w:rFonts w:ascii="Symbol" w:hAnsi="Symbol" w:cs="Symbol"/>
      <w:strike w:val="false"/>
      <w:dstrike w:val="false"/>
    </w:rPr>
  </w:style>
  <w:style w:type="character" w:styleId="WW8Num10z0" w:customStyle="1">
    <w:name w:val="WW8Num10z0"/>
    <w:qFormat/>
    <w:rPr>
      <w:b w:val="false"/>
      <w:bCs w:val="false"/>
    </w:rPr>
  </w:style>
  <w:style w:type="character" w:styleId="WW8Num11z0" w:customStyle="1">
    <w:name w:val="WW8Num11z0"/>
    <w:qFormat/>
    <w:rPr>
      <w:rFonts w:ascii="Symbol" w:hAnsi="Symbol" w:cs="Symbol"/>
    </w:rPr>
  </w:style>
  <w:style w:type="character" w:styleId="WW8Num12z0" w:customStyle="1">
    <w:name w:val="WW8Num12z0"/>
    <w:qFormat/>
    <w:rPr>
      <w:b w:val="false"/>
      <w:bCs w:val="false"/>
      <w:color w:val="000000"/>
      <w:sz w:val="24"/>
      <w:szCs w:val="24"/>
    </w:rPr>
  </w:style>
  <w:style w:type="character" w:styleId="WW8Num12z2" w:customStyle="1">
    <w:name w:val="WW8Num12z2"/>
    <w:qFormat/>
    <w:rPr>
      <w:b w:val="false"/>
      <w:color w:val="000000"/>
      <w:sz w:val="24"/>
      <w:szCs w:val="24"/>
    </w:rPr>
  </w:style>
  <w:style w:type="character" w:styleId="WW8Num13z0" w:customStyle="1">
    <w:name w:val="WW8Num13z0"/>
    <w:qFormat/>
    <w:rPr/>
  </w:style>
  <w:style w:type="character" w:styleId="WW8Num13z1" w:customStyle="1">
    <w:name w:val="WW8Num13z1"/>
    <w:qFormat/>
    <w:rPr>
      <w:b w:val="false"/>
      <w:sz w:val="24"/>
      <w:szCs w:val="24"/>
    </w:rPr>
  </w:style>
  <w:style w:type="character" w:styleId="WW8Num14z0" w:customStyle="1">
    <w:name w:val="WW8Num14z0"/>
    <w:qFormat/>
    <w:rPr>
      <w:rFonts w:ascii="Symbol" w:hAnsi="Symbol" w:cs="Symbol"/>
    </w:rPr>
  </w:style>
  <w:style w:type="character" w:styleId="WW8Num15z0" w:customStyle="1">
    <w:name w:val="WW8Num15z0"/>
    <w:qFormat/>
    <w:rPr>
      <w:rFonts w:ascii="Symbol" w:hAnsi="Symbol" w:cs="Symbol"/>
    </w:rPr>
  </w:style>
  <w:style w:type="character" w:styleId="WW8Num16z0" w:customStyle="1">
    <w:name w:val="WW8Num16z0"/>
    <w:qFormat/>
    <w:rPr>
      <w:rFonts w:ascii="Symbol" w:hAnsi="Symbol" w:cs="Symbol"/>
      <w:color w:val="000000"/>
    </w:rPr>
  </w:style>
  <w:style w:type="character" w:styleId="WW8Num17z2" w:customStyle="1">
    <w:name w:val="WW8Num17z2"/>
    <w:qFormat/>
    <w:rPr>
      <w:b w:val="false"/>
      <w:color w:val="000000"/>
      <w:sz w:val="24"/>
      <w:szCs w:val="24"/>
    </w:rPr>
  </w:style>
  <w:style w:type="character" w:styleId="3" w:customStyle="1">
    <w:name w:val="Основной шрифт абзаца3"/>
    <w:qFormat/>
    <w:rPr/>
  </w:style>
  <w:style w:type="character" w:styleId="WW8Num19z0" w:customStyle="1">
    <w:name w:val="WW8Num19z0"/>
    <w:qFormat/>
    <w:rPr>
      <w:rFonts w:ascii="Symbol" w:hAnsi="Symbol" w:cs="Times New Roman"/>
    </w:rPr>
  </w:style>
  <w:style w:type="character" w:styleId="WW8Num20z0" w:customStyle="1">
    <w:name w:val="WW8Num20z0"/>
    <w:qFormat/>
    <w:rPr>
      <w:rFonts w:ascii="Symbol" w:hAnsi="Symbol" w:cs="Symbol"/>
    </w:rPr>
  </w:style>
  <w:style w:type="character" w:styleId="WW8Num21z0" w:customStyle="1">
    <w:name w:val="WW8Num21z0"/>
    <w:qFormat/>
    <w:rPr>
      <w:rFonts w:ascii="Symbol" w:hAnsi="Symbol" w:cs="Times New Roman"/>
    </w:rPr>
  </w:style>
  <w:style w:type="character" w:styleId="WW8Num22z0" w:customStyle="1">
    <w:name w:val="WW8Num22z0"/>
    <w:qFormat/>
    <w:rPr>
      <w:rFonts w:ascii="Times New Roman" w:hAnsi="Times New Roman" w:cs="Symbol"/>
    </w:rPr>
  </w:style>
  <w:style w:type="character" w:styleId="2" w:customStyle="1">
    <w:name w:val="Основной шрифт абзаца2"/>
    <w:qFormat/>
    <w:rPr/>
  </w:style>
  <w:style w:type="character" w:styleId="WW8Num6z0" w:customStyle="1">
    <w:name w:val="WW8Num6z0"/>
    <w:qFormat/>
    <w:rPr/>
  </w:style>
  <w:style w:type="character" w:styleId="WW8Num14z2" w:customStyle="1">
    <w:name w:val="WW8Num14z2"/>
    <w:qFormat/>
    <w:rPr>
      <w:b w:val="false"/>
      <w:color w:val="000000"/>
      <w:sz w:val="24"/>
      <w:szCs w:val="24"/>
    </w:rPr>
  </w:style>
  <w:style w:type="character" w:styleId="WW8Num15z1" w:customStyle="1">
    <w:name w:val="WW8Num15z1"/>
    <w:qFormat/>
    <w:rPr>
      <w:b w:val="false"/>
      <w:sz w:val="24"/>
      <w:szCs w:val="24"/>
    </w:rPr>
  </w:style>
  <w:style w:type="character" w:styleId="WW8Num17z0" w:customStyle="1">
    <w:name w:val="WW8Num17z0"/>
    <w:qFormat/>
    <w:rPr>
      <w:rFonts w:ascii="Symbol" w:hAnsi="Symbol" w:cs="Symbol"/>
    </w:rPr>
  </w:style>
  <w:style w:type="character" w:styleId="WW8Num18z0" w:customStyle="1">
    <w:name w:val="WW8Num18z0"/>
    <w:qFormat/>
    <w:rPr>
      <w:rFonts w:ascii="Symbol" w:hAnsi="Symbol" w:cs="Symbol"/>
      <w:color w:val="000000"/>
    </w:rPr>
  </w:style>
  <w:style w:type="character" w:styleId="WW8Num1z0" w:customStyle="1">
    <w:name w:val="WW8Num1z0"/>
    <w:qFormat/>
    <w:rPr/>
  </w:style>
  <w:style w:type="character" w:styleId="WW8Num2z1" w:customStyle="1">
    <w:name w:val="WW8Num2z1"/>
    <w:qFormat/>
    <w:rPr/>
  </w:style>
  <w:style w:type="character" w:styleId="WW8Num3z1" w:customStyle="1">
    <w:name w:val="WW8Num3z1"/>
    <w:qFormat/>
    <w:rPr>
      <w:rFonts w:ascii="Courier New" w:hAnsi="Courier New" w:cs="Courier New"/>
    </w:rPr>
  </w:style>
  <w:style w:type="character" w:styleId="WW8Num3z2" w:customStyle="1">
    <w:name w:val="WW8Num3z2"/>
    <w:qFormat/>
    <w:rPr>
      <w:rFonts w:ascii="Wingdings" w:hAnsi="Wingdings" w:cs="Wingdings"/>
    </w:rPr>
  </w:style>
  <w:style w:type="character" w:styleId="WW8Num4z1" w:customStyle="1">
    <w:name w:val="WW8Num4z1"/>
    <w:qFormat/>
    <w:rPr>
      <w:rFonts w:ascii="Courier New" w:hAnsi="Courier New" w:cs="Courier New"/>
    </w:rPr>
  </w:style>
  <w:style w:type="character" w:styleId="WW8Num4z2" w:customStyle="1">
    <w:name w:val="WW8Num4z2"/>
    <w:qFormat/>
    <w:rPr>
      <w:rFonts w:ascii="Wingdings" w:hAnsi="Wingdings" w:cs="Wingdings"/>
    </w:rPr>
  </w:style>
  <w:style w:type="character" w:styleId="WW8Num5z1" w:customStyle="1">
    <w:name w:val="WW8Num5z1"/>
    <w:qFormat/>
    <w:rPr>
      <w:rFonts w:cs="Times New Roman"/>
      <w:b w:val="false"/>
    </w:rPr>
  </w:style>
  <w:style w:type="character" w:styleId="WW8Num6z1" w:customStyle="1">
    <w:name w:val="WW8Num6z1"/>
    <w:qFormat/>
    <w:rPr>
      <w:rFonts w:ascii="Courier New" w:hAnsi="Courier New" w:cs="Courier New"/>
    </w:rPr>
  </w:style>
  <w:style w:type="character" w:styleId="WW8Num6z2" w:customStyle="1">
    <w:name w:val="WW8Num6z2"/>
    <w:qFormat/>
    <w:rPr>
      <w:rFonts w:ascii="Wingdings" w:hAnsi="Wingdings" w:cs="Wingdings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b/>
    </w:rPr>
  </w:style>
  <w:style w:type="character" w:styleId="WW8Num8z1" w:customStyle="1">
    <w:name w:val="WW8Num8z1"/>
    <w:qFormat/>
    <w:rPr>
      <w:rFonts w:ascii="Courier New" w:hAnsi="Courier New" w:cs="Courier New"/>
    </w:rPr>
  </w:style>
  <w:style w:type="character" w:styleId="WW8Num8z2" w:customStyle="1">
    <w:name w:val="WW8Num8z2"/>
    <w:qFormat/>
    <w:rPr>
      <w:rFonts w:ascii="Wingdings" w:hAnsi="Wingdings" w:cs="Wingdings"/>
    </w:rPr>
  </w:style>
  <w:style w:type="character" w:styleId="WW8Num10z1" w:customStyle="1">
    <w:name w:val="WW8Num10z1"/>
    <w:qFormat/>
    <w:rPr>
      <w:rFonts w:ascii="Courier New" w:hAnsi="Courier New" w:cs="Courier New"/>
    </w:rPr>
  </w:style>
  <w:style w:type="character" w:styleId="WW8Num10z2" w:customStyle="1">
    <w:name w:val="WW8Num10z2"/>
    <w:qFormat/>
    <w:rPr>
      <w:rFonts w:ascii="Wingdings" w:hAnsi="Wingdings" w:cs="Wingdings"/>
    </w:rPr>
  </w:style>
  <w:style w:type="character" w:styleId="WW8Num11z1" w:customStyle="1">
    <w:name w:val="WW8Num11z1"/>
    <w:qFormat/>
    <w:rPr>
      <w:rFonts w:ascii="Courier New" w:hAnsi="Courier New" w:cs="Courier New"/>
    </w:rPr>
  </w:style>
  <w:style w:type="character" w:styleId="WW8Num11z2" w:customStyle="1">
    <w:name w:val="WW8Num11z2"/>
    <w:qFormat/>
    <w:rPr>
      <w:rFonts w:ascii="Wingdings" w:hAnsi="Wingdings" w:cs="Wingdings"/>
    </w:rPr>
  </w:style>
  <w:style w:type="character" w:styleId="WW8Num12z1" w:customStyle="1">
    <w:name w:val="WW8Num12z1"/>
    <w:qFormat/>
    <w:rPr>
      <w:rFonts w:ascii="Courier New" w:hAnsi="Courier New" w:cs="Courier New"/>
    </w:rPr>
  </w:style>
  <w:style w:type="character" w:styleId="WW8Num16z1" w:customStyle="1">
    <w:name w:val="WW8Num16z1"/>
    <w:qFormat/>
    <w:rPr>
      <w:rFonts w:ascii="Courier New" w:hAnsi="Courier New" w:cs="Courier New"/>
    </w:rPr>
  </w:style>
  <w:style w:type="character" w:styleId="WW8Num16z2" w:customStyle="1">
    <w:name w:val="WW8Num16z2"/>
    <w:qFormat/>
    <w:rPr>
      <w:rFonts w:ascii="Wingdings" w:hAnsi="Wingdings" w:cs="Wingdings"/>
    </w:rPr>
  </w:style>
  <w:style w:type="character" w:styleId="WW8Num17z1" w:customStyle="1">
    <w:name w:val="WW8Num17z1"/>
    <w:qFormat/>
    <w:rPr>
      <w:rFonts w:ascii="Courier New" w:hAnsi="Courier New" w:cs="Courier New"/>
    </w:rPr>
  </w:style>
  <w:style w:type="character" w:styleId="WW8Num19z1" w:customStyle="1">
    <w:name w:val="WW8Num19z1"/>
    <w:qFormat/>
    <w:rPr>
      <w:rFonts w:ascii="Wingdings" w:hAnsi="Wingdings" w:cs="Wingdings"/>
      <w:color w:val="000000"/>
    </w:rPr>
  </w:style>
  <w:style w:type="character" w:styleId="WW8Num19z2" w:customStyle="1">
    <w:name w:val="WW8Num19z2"/>
    <w:qFormat/>
    <w:rPr>
      <w:rFonts w:ascii="Wingdings" w:hAnsi="Wingdings" w:cs="Wingdings"/>
    </w:rPr>
  </w:style>
  <w:style w:type="character" w:styleId="WW8Num19z3" w:customStyle="1">
    <w:name w:val="WW8Num19z3"/>
    <w:qFormat/>
    <w:rPr>
      <w:rFonts w:ascii="Symbol" w:hAnsi="Symbol" w:cs="Symbol"/>
    </w:rPr>
  </w:style>
  <w:style w:type="character" w:styleId="WW8Num19z4" w:customStyle="1">
    <w:name w:val="WW8Num19z4"/>
    <w:qFormat/>
    <w:rPr>
      <w:rFonts w:ascii="Courier New" w:hAnsi="Courier New" w:cs="Courier New"/>
    </w:rPr>
  </w:style>
  <w:style w:type="character" w:styleId="WW8Num21z1" w:customStyle="1">
    <w:name w:val="WW8Num21z1"/>
    <w:qFormat/>
    <w:rPr>
      <w:rFonts w:ascii="Courier New" w:hAnsi="Courier New" w:cs="Courier New"/>
    </w:rPr>
  </w:style>
  <w:style w:type="character" w:styleId="WW8Num21z2" w:customStyle="1">
    <w:name w:val="WW8Num21z2"/>
    <w:qFormat/>
    <w:rPr>
      <w:rFonts w:ascii="Wingdings" w:hAnsi="Wingdings" w:cs="Wingdings"/>
    </w:rPr>
  </w:style>
  <w:style w:type="character" w:styleId="WW8Num22z1" w:customStyle="1">
    <w:name w:val="WW8Num22z1"/>
    <w:qFormat/>
    <w:rPr>
      <w:rFonts w:ascii="Wingdings" w:hAnsi="Wingdings" w:cs="Wingdings"/>
    </w:rPr>
  </w:style>
  <w:style w:type="character" w:styleId="WW8Num23z0" w:customStyle="1">
    <w:name w:val="WW8Num23z0"/>
    <w:qFormat/>
    <w:rPr>
      <w:rFonts w:ascii="Symbol" w:hAnsi="Symbol" w:cs="Symbol"/>
    </w:rPr>
  </w:style>
  <w:style w:type="character" w:styleId="WW8Num23z1" w:customStyle="1">
    <w:name w:val="WW8Num23z1"/>
    <w:qFormat/>
    <w:rPr>
      <w:rFonts w:ascii="Courier New" w:hAnsi="Courier New" w:cs="Courier New"/>
    </w:rPr>
  </w:style>
  <w:style w:type="character" w:styleId="WW8Num23z2" w:customStyle="1">
    <w:name w:val="WW8Num23z2"/>
    <w:qFormat/>
    <w:rPr>
      <w:rFonts w:ascii="Wingdings" w:hAnsi="Wingdings" w:cs="Wingdings"/>
    </w:rPr>
  </w:style>
  <w:style w:type="character" w:styleId="WW8Num24z0" w:customStyle="1">
    <w:name w:val="WW8Num24z0"/>
    <w:qFormat/>
    <w:rPr>
      <w:rFonts w:ascii="Symbol" w:hAnsi="Symbol" w:cs="Symbol"/>
    </w:rPr>
  </w:style>
  <w:style w:type="character" w:styleId="WW8Num24z1" w:customStyle="1">
    <w:name w:val="WW8Num24z1"/>
    <w:qFormat/>
    <w:rPr>
      <w:rFonts w:ascii="Courier New" w:hAnsi="Courier New" w:cs="Courier New"/>
    </w:rPr>
  </w:style>
  <w:style w:type="character" w:styleId="WW8Num24z2" w:customStyle="1">
    <w:name w:val="WW8Num24z2"/>
    <w:qFormat/>
    <w:rPr>
      <w:rFonts w:ascii="Wingdings" w:hAnsi="Wingdings" w:cs="Wingdings"/>
    </w:rPr>
  </w:style>
  <w:style w:type="character" w:styleId="WW8Num25z0" w:customStyle="1">
    <w:name w:val="WW8Num25z0"/>
    <w:qFormat/>
    <w:rPr>
      <w:rFonts w:ascii="Symbol" w:hAnsi="Symbol" w:cs="Symbol"/>
      <w:strike w:val="false"/>
      <w:dstrike w:val="false"/>
    </w:rPr>
  </w:style>
  <w:style w:type="character" w:styleId="WW8Num25z1" w:customStyle="1">
    <w:name w:val="WW8Num25z1"/>
    <w:qFormat/>
    <w:rPr>
      <w:rFonts w:ascii="Times New Roman" w:hAnsi="Times New Roman" w:eastAsia="Times New Roman" w:cs="Times New Roman"/>
    </w:rPr>
  </w:style>
  <w:style w:type="character" w:styleId="WW8Num25z2" w:customStyle="1">
    <w:name w:val="WW8Num25z2"/>
    <w:qFormat/>
    <w:rPr>
      <w:rFonts w:ascii="Wingdings" w:hAnsi="Wingdings" w:cs="Wingdings"/>
    </w:rPr>
  </w:style>
  <w:style w:type="character" w:styleId="WW8Num25z3" w:customStyle="1">
    <w:name w:val="WW8Num25z3"/>
    <w:qFormat/>
    <w:rPr>
      <w:rFonts w:ascii="Symbol" w:hAnsi="Symbol" w:cs="Symbol"/>
    </w:rPr>
  </w:style>
  <w:style w:type="character" w:styleId="WW8Num25z4" w:customStyle="1">
    <w:name w:val="WW8Num25z4"/>
    <w:qFormat/>
    <w:rPr>
      <w:rFonts w:ascii="Courier New" w:hAnsi="Courier New" w:cs="Courier New"/>
    </w:rPr>
  </w:style>
  <w:style w:type="character" w:styleId="WW8Num26z0" w:customStyle="1">
    <w:name w:val="WW8Num26z0"/>
    <w:qFormat/>
    <w:rPr>
      <w:rFonts w:cs="Times New Roman"/>
    </w:rPr>
  </w:style>
  <w:style w:type="character" w:styleId="WW8Num26z1" w:customStyle="1">
    <w:name w:val="WW8Num26z1"/>
    <w:qFormat/>
    <w:rPr>
      <w:rFonts w:ascii="Symbol" w:hAnsi="Symbol" w:cs="Symbol"/>
    </w:rPr>
  </w:style>
  <w:style w:type="character" w:styleId="WW8Num26z2" w:customStyle="1">
    <w:name w:val="WW8Num26z2"/>
    <w:qFormat/>
    <w:rPr>
      <w:rFonts w:cs="Times New Roman"/>
    </w:rPr>
  </w:style>
  <w:style w:type="character" w:styleId="WW8Num27z0" w:customStyle="1">
    <w:name w:val="WW8Num27z0"/>
    <w:qFormat/>
    <w:rPr>
      <w:rFonts w:ascii="Wingdings" w:hAnsi="Wingdings" w:cs="Wingdings"/>
    </w:rPr>
  </w:style>
  <w:style w:type="character" w:styleId="WW8Num27z3" w:customStyle="1">
    <w:name w:val="WW8Num27z3"/>
    <w:qFormat/>
    <w:rPr>
      <w:rFonts w:cs="Times New Roman"/>
    </w:rPr>
  </w:style>
  <w:style w:type="character" w:styleId="WW8Num28z0" w:customStyle="1">
    <w:name w:val="WW8Num28z0"/>
    <w:qFormat/>
    <w:rPr/>
  </w:style>
  <w:style w:type="character" w:styleId="WW8Num30z0" w:customStyle="1">
    <w:name w:val="WW8Num30z0"/>
    <w:qFormat/>
    <w:rPr>
      <w:rFonts w:ascii="Symbol" w:hAnsi="Symbol" w:cs="Symbol"/>
    </w:rPr>
  </w:style>
  <w:style w:type="character" w:styleId="WW8Num30z1" w:customStyle="1">
    <w:name w:val="WW8Num30z1"/>
    <w:qFormat/>
    <w:rPr>
      <w:rFonts w:ascii="Courier New" w:hAnsi="Courier New" w:cs="Courier New"/>
    </w:rPr>
  </w:style>
  <w:style w:type="character" w:styleId="WW8Num30z2" w:customStyle="1">
    <w:name w:val="WW8Num30z2"/>
    <w:qFormat/>
    <w:rPr>
      <w:rFonts w:ascii="Wingdings" w:hAnsi="Wingdings" w:cs="Wingdings"/>
    </w:rPr>
  </w:style>
  <w:style w:type="character" w:styleId="WW8Num31z0" w:customStyle="1">
    <w:name w:val="WW8Num31z0"/>
    <w:qFormat/>
    <w:rPr>
      <w:rFonts w:ascii="Symbol" w:hAnsi="Symbol" w:cs="Symbol"/>
    </w:rPr>
  </w:style>
  <w:style w:type="character" w:styleId="WW8Num31z1" w:customStyle="1">
    <w:name w:val="WW8Num31z1"/>
    <w:qFormat/>
    <w:rPr>
      <w:rFonts w:ascii="Courier New" w:hAnsi="Courier New" w:cs="Courier New"/>
    </w:rPr>
  </w:style>
  <w:style w:type="character" w:styleId="WW8Num31z2" w:customStyle="1">
    <w:name w:val="WW8Num31z2"/>
    <w:qFormat/>
    <w:rPr>
      <w:rFonts w:ascii="Wingdings" w:hAnsi="Wingdings" w:cs="Wingdings"/>
    </w:rPr>
  </w:style>
  <w:style w:type="character" w:styleId="WW8Num32z0" w:customStyle="1">
    <w:name w:val="WW8Num32z0"/>
    <w:qFormat/>
    <w:rPr>
      <w:rFonts w:ascii="Symbol" w:hAnsi="Symbol" w:cs="Symbol"/>
    </w:rPr>
  </w:style>
  <w:style w:type="character" w:styleId="WW8Num32z1" w:customStyle="1">
    <w:name w:val="WW8Num32z1"/>
    <w:qFormat/>
    <w:rPr>
      <w:rFonts w:ascii="Courier New" w:hAnsi="Courier New" w:cs="Courier New"/>
    </w:rPr>
  </w:style>
  <w:style w:type="character" w:styleId="WW8Num32z2" w:customStyle="1">
    <w:name w:val="WW8Num32z2"/>
    <w:qFormat/>
    <w:rPr>
      <w:rFonts w:ascii="Wingdings" w:hAnsi="Wingdings" w:cs="Wingdings"/>
    </w:rPr>
  </w:style>
  <w:style w:type="character" w:styleId="WW8Num33z0" w:customStyle="1">
    <w:name w:val="WW8Num33z0"/>
    <w:qFormat/>
    <w:rPr/>
  </w:style>
  <w:style w:type="character" w:styleId="WW8Num33z2" w:customStyle="1">
    <w:name w:val="WW8Num33z2"/>
    <w:qFormat/>
    <w:rPr>
      <w:b w:val="false"/>
      <w:color w:val="000000"/>
      <w:sz w:val="24"/>
      <w:szCs w:val="24"/>
    </w:rPr>
  </w:style>
  <w:style w:type="character" w:styleId="WW8Num34z0" w:customStyle="1">
    <w:name w:val="WW8Num34z0"/>
    <w:qFormat/>
    <w:rPr>
      <w:rFonts w:ascii="Wingdings" w:hAnsi="Wingdings" w:cs="Wingdings"/>
    </w:rPr>
  </w:style>
  <w:style w:type="character" w:styleId="WW8Num34z2" w:customStyle="1">
    <w:name w:val="WW8Num34z2"/>
    <w:qFormat/>
    <w:rPr>
      <w:rFonts w:cs="Times New Roman"/>
    </w:rPr>
  </w:style>
  <w:style w:type="character" w:styleId="WW8Num35z0" w:customStyle="1">
    <w:name w:val="WW8Num35z0"/>
    <w:qFormat/>
    <w:rPr/>
  </w:style>
  <w:style w:type="character" w:styleId="WW8Num35z1" w:customStyle="1">
    <w:name w:val="WW8Num35z1"/>
    <w:qFormat/>
    <w:rPr>
      <w:sz w:val="24"/>
      <w:szCs w:val="24"/>
    </w:rPr>
  </w:style>
  <w:style w:type="character" w:styleId="WW8Num36z0" w:customStyle="1">
    <w:name w:val="WW8Num36z0"/>
    <w:qFormat/>
    <w:rPr/>
  </w:style>
  <w:style w:type="character" w:styleId="WW8Num36z1" w:customStyle="1">
    <w:name w:val="WW8Num36z1"/>
    <w:qFormat/>
    <w:rPr>
      <w:b w:val="false"/>
      <w:sz w:val="24"/>
      <w:szCs w:val="24"/>
    </w:rPr>
  </w:style>
  <w:style w:type="character" w:styleId="WW8Num37z0" w:customStyle="1">
    <w:name w:val="WW8Num37z0"/>
    <w:qFormat/>
    <w:rPr>
      <w:rFonts w:ascii="Symbol" w:hAnsi="Symbol" w:cs="Symbol"/>
    </w:rPr>
  </w:style>
  <w:style w:type="character" w:styleId="WW8Num37z1" w:customStyle="1">
    <w:name w:val="WW8Num37z1"/>
    <w:qFormat/>
    <w:rPr>
      <w:rFonts w:ascii="Courier New" w:hAnsi="Courier New" w:cs="Courier New"/>
    </w:rPr>
  </w:style>
  <w:style w:type="character" w:styleId="WW8Num37z2" w:customStyle="1">
    <w:name w:val="WW8Num37z2"/>
    <w:qFormat/>
    <w:rPr>
      <w:rFonts w:ascii="Wingdings" w:hAnsi="Wingdings" w:cs="Wingdings"/>
    </w:rPr>
  </w:style>
  <w:style w:type="character" w:styleId="WW8Num38z0" w:customStyle="1">
    <w:name w:val="WW8Num38z0"/>
    <w:qFormat/>
    <w:rPr>
      <w:rFonts w:cs="Times New Roman"/>
      <w:b/>
    </w:rPr>
  </w:style>
  <w:style w:type="character" w:styleId="WW8Num38z1" w:customStyle="1">
    <w:name w:val="WW8Num38z1"/>
    <w:qFormat/>
    <w:rPr>
      <w:rFonts w:cs="Times New Roman"/>
    </w:rPr>
  </w:style>
  <w:style w:type="character" w:styleId="WW8Num39z0" w:customStyle="1">
    <w:name w:val="WW8Num39z0"/>
    <w:qFormat/>
    <w:rPr>
      <w:rFonts w:ascii="Symbol" w:hAnsi="Symbol" w:cs="Symbol"/>
    </w:rPr>
  </w:style>
  <w:style w:type="character" w:styleId="WW8Num39z1" w:customStyle="1">
    <w:name w:val="WW8Num39z1"/>
    <w:qFormat/>
    <w:rPr>
      <w:rFonts w:ascii="Courier New" w:hAnsi="Courier New" w:cs="Courier New"/>
    </w:rPr>
  </w:style>
  <w:style w:type="character" w:styleId="WW8Num39z2" w:customStyle="1">
    <w:name w:val="WW8Num39z2"/>
    <w:qFormat/>
    <w:rPr>
      <w:rFonts w:ascii="Wingdings" w:hAnsi="Wingdings" w:cs="Wingdings"/>
    </w:rPr>
  </w:style>
  <w:style w:type="character" w:styleId="WW8Num39z3" w:customStyle="1">
    <w:name w:val="WW8Num39z3"/>
    <w:qFormat/>
    <w:rPr/>
  </w:style>
  <w:style w:type="character" w:styleId="WW8Num40z0" w:customStyle="1">
    <w:name w:val="WW8Num40z0"/>
    <w:qFormat/>
    <w:rPr>
      <w:rFonts w:ascii="Symbol" w:hAnsi="Symbol" w:cs="Symbol"/>
      <w:color w:val="000000"/>
    </w:rPr>
  </w:style>
  <w:style w:type="character" w:styleId="WW8Num40z1" w:customStyle="1">
    <w:name w:val="WW8Num40z1"/>
    <w:qFormat/>
    <w:rPr>
      <w:rFonts w:ascii="Courier New" w:hAnsi="Courier New" w:cs="Courier New"/>
    </w:rPr>
  </w:style>
  <w:style w:type="character" w:styleId="WW8Num40z2" w:customStyle="1">
    <w:name w:val="WW8Num40z2"/>
    <w:qFormat/>
    <w:rPr>
      <w:rFonts w:ascii="Wingdings" w:hAnsi="Wingdings" w:cs="Wingdings"/>
    </w:rPr>
  </w:style>
  <w:style w:type="character" w:styleId="WW8Num40z3" w:customStyle="1">
    <w:name w:val="WW8Num40z3"/>
    <w:qFormat/>
    <w:rPr>
      <w:rFonts w:ascii="Symbol" w:hAnsi="Symbol" w:cs="Symbol"/>
    </w:rPr>
  </w:style>
  <w:style w:type="character" w:styleId="1" w:customStyle="1">
    <w:name w:val="Основной шрифт абзаца1"/>
    <w:qFormat/>
    <w:rPr/>
  </w:style>
  <w:style w:type="character" w:styleId="11" w:customStyle="1">
    <w:name w:val="Заголовок 1 Знак"/>
    <w:qFormat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21" w:customStyle="1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31" w:customStyle="1">
    <w:name w:val="Заголовок 3 Знак"/>
    <w:qFormat/>
    <w:rPr>
      <w:b/>
      <w:sz w:val="28"/>
    </w:rPr>
  </w:style>
  <w:style w:type="character" w:styleId="32" w:customStyle="1">
    <w:name w:val="Основной текст 3 Знак"/>
    <w:qFormat/>
    <w:rPr>
      <w:color w:val="0000FF"/>
      <w:sz w:val="24"/>
      <w:szCs w:val="24"/>
    </w:rPr>
  </w:style>
  <w:style w:type="character" w:styleId="Style5" w:customStyle="1">
    <w:name w:val="Основной текст Знак"/>
    <w:qFormat/>
    <w:rPr>
      <w:sz w:val="28"/>
      <w:szCs w:val="28"/>
    </w:rPr>
  </w:style>
  <w:style w:type="character" w:styleId="Style6" w:customStyle="1">
    <w:name w:val="Текст сноски Знак"/>
    <w:qFormat/>
    <w:rPr/>
  </w:style>
  <w:style w:type="character" w:styleId="Style7" w:customStyle="1">
    <w:name w:val="Символ сноски"/>
    <w:qFormat/>
    <w:rPr>
      <w:vertAlign w:val="superscript"/>
    </w:rPr>
  </w:style>
  <w:style w:type="character" w:styleId="Style8" w:customStyle="1">
    <w:name w:val="Абзац списка Знак"/>
    <w:qFormat/>
    <w:rPr>
      <w:sz w:val="24"/>
      <w:szCs w:val="24"/>
    </w:rPr>
  </w:style>
  <w:style w:type="character" w:styleId="12" w:customStyle="1">
    <w:name w:val="1. Статья Знак"/>
    <w:qFormat/>
    <w:rPr>
      <w:sz w:val="24"/>
      <w:szCs w:val="24"/>
      <w:lang w:val="x-none"/>
    </w:rPr>
  </w:style>
  <w:style w:type="character" w:styleId="33" w:customStyle="1">
    <w:name w:val="3. Подпункт Знак"/>
    <w:qFormat/>
    <w:rPr>
      <w:b/>
      <w:bCs/>
      <w:sz w:val="24"/>
      <w:szCs w:val="24"/>
      <w:lang w:val="x-none"/>
    </w:rPr>
  </w:style>
  <w:style w:type="character" w:styleId="Style9" w:customStyle="1">
    <w:name w:val="Текст выноски Знак"/>
    <w:qFormat/>
    <w:rPr>
      <w:rFonts w:ascii="Tahoma" w:hAnsi="Tahoma" w:cs="Tahoma"/>
      <w:sz w:val="16"/>
      <w:szCs w:val="16"/>
    </w:rPr>
  </w:style>
  <w:style w:type="character" w:styleId="4" w:customStyle="1">
    <w:name w:val="4. Отчерк Знак"/>
    <w:qFormat/>
    <w:rPr>
      <w:sz w:val="24"/>
      <w:szCs w:val="24"/>
      <w:lang w:val="x-none"/>
    </w:rPr>
  </w:style>
  <w:style w:type="character" w:styleId="13" w:customStyle="1">
    <w:name w:val="Знак примечания1"/>
    <w:qFormat/>
    <w:rPr>
      <w:sz w:val="16"/>
      <w:szCs w:val="16"/>
    </w:rPr>
  </w:style>
  <w:style w:type="character" w:styleId="Style10" w:customStyle="1">
    <w:name w:val="Текст примечания Знак"/>
    <w:qFormat/>
    <w:rPr/>
  </w:style>
  <w:style w:type="character" w:styleId="Style11" w:customStyle="1">
    <w:name w:val="Тема примечания Знак"/>
    <w:qFormat/>
    <w:rPr>
      <w:b/>
      <w:bCs/>
    </w:rPr>
  </w:style>
  <w:style w:type="character" w:styleId="Style12" w:customStyle="1">
    <w:name w:val="Нижний колонтитул Знак"/>
    <w:uiPriority w:val="99"/>
    <w:qFormat/>
    <w:rPr>
      <w:sz w:val="28"/>
      <w:szCs w:val="28"/>
    </w:rPr>
  </w:style>
  <w:style w:type="character" w:styleId="Style13" w:customStyle="1">
    <w:name w:val="Название Знак"/>
    <w:qFormat/>
    <w:rPr>
      <w:b/>
      <w:sz w:val="22"/>
      <w:szCs w:val="22"/>
      <w:shd w:fill="FFFFFF" w:val="clear"/>
    </w:rPr>
  </w:style>
  <w:style w:type="character" w:styleId="Style14" w:customStyle="1">
    <w:name w:val="Основной текст с отступом Знак"/>
    <w:qFormat/>
    <w:rPr>
      <w:sz w:val="28"/>
      <w:szCs w:val="28"/>
    </w:rPr>
  </w:style>
  <w:style w:type="character" w:styleId="FontStyle16" w:customStyle="1">
    <w:name w:val="Font Style16"/>
    <w:qFormat/>
    <w:rPr>
      <w:rFonts w:ascii="Times New Roman" w:hAnsi="Times New Roman" w:cs="Times New Roman"/>
      <w:sz w:val="24"/>
      <w:szCs w:val="24"/>
    </w:rPr>
  </w:style>
  <w:style w:type="character" w:styleId="Hyperlink">
    <w:name w:val="Hyperlink"/>
    <w:rPr>
      <w:color w:val="0000FF"/>
      <w:u w:val="single"/>
    </w:rPr>
  </w:style>
  <w:style w:type="character" w:styleId="Style15" w:customStyle="1">
    <w:name w:val="Текст концевой сноски Знак"/>
    <w:qFormat/>
    <w:rPr>
      <w:lang w:val="x-none"/>
    </w:rPr>
  </w:style>
  <w:style w:type="character" w:styleId="Style16" w:customStyle="1">
    <w:name w:val="Символ концевой сноски"/>
    <w:qFormat/>
    <w:rPr>
      <w:vertAlign w:val="superscript"/>
    </w:rPr>
  </w:style>
  <w:style w:type="character" w:styleId="Head14" w:customStyle="1">
    <w:name w:val="Head14 Знак"/>
    <w:qFormat/>
    <w:rPr>
      <w:rFonts w:eastAsia="Symbol"/>
      <w:sz w:val="28"/>
      <w:szCs w:val="28"/>
    </w:rPr>
  </w:style>
  <w:style w:type="character" w:styleId="22" w:customStyle="1">
    <w:name w:val="Основной текст (2)_"/>
    <w:qFormat/>
    <w:rPr>
      <w:b/>
      <w:bCs/>
      <w:sz w:val="22"/>
      <w:szCs w:val="22"/>
      <w:shd w:fill="FFFFFF" w:val="clear"/>
    </w:rPr>
  </w:style>
  <w:style w:type="character" w:styleId="Style17" w:customStyle="1">
    <w:name w:val="Красная строка Знак"/>
    <w:qFormat/>
    <w:rPr>
      <w:sz w:val="24"/>
      <w:szCs w:val="24"/>
    </w:rPr>
  </w:style>
  <w:style w:type="character" w:styleId="Style18" w:customStyle="1">
    <w:name w:val="Верхний колонтитул Знак"/>
    <w:qFormat/>
    <w:rPr>
      <w:sz w:val="28"/>
      <w:szCs w:val="28"/>
    </w:rPr>
  </w:style>
  <w:style w:type="character" w:styleId="HTML" w:customStyle="1">
    <w:name w:val="Стандартный HTML Знак"/>
    <w:qFormat/>
    <w:rPr>
      <w:rFonts w:ascii="Courier New" w:hAnsi="Courier New" w:cs="Courier New"/>
    </w:rPr>
  </w:style>
  <w:style w:type="character" w:styleId="Fontstyle01" w:customStyle="1">
    <w:name w:val="fontstyle01"/>
    <w:qFormat/>
    <w:rPr>
      <w:rFonts w:ascii="TimesNewRomanPSMT" w:hAnsi="TimesNewRomanPSMT" w:cs="TimesNewRomanPSMT"/>
      <w:b w:val="false"/>
      <w:bCs w:val="false"/>
      <w:i w:val="false"/>
      <w:iCs w:val="false"/>
      <w:color w:val="000000"/>
      <w:sz w:val="28"/>
      <w:szCs w:val="28"/>
    </w:rPr>
  </w:style>
  <w:style w:type="character" w:styleId="Fontstyle21" w:customStyle="1">
    <w:name w:val="fontstyle21"/>
    <w:qFormat/>
    <w:rPr>
      <w:rFonts w:ascii="SymbolMT" w:hAnsi="SymbolMT" w:cs="SymbolMT"/>
      <w:b w:val="false"/>
      <w:bCs w:val="false"/>
      <w:i w:val="false"/>
      <w:iCs w:val="false"/>
      <w:color w:val="000000"/>
      <w:sz w:val="24"/>
      <w:szCs w:val="24"/>
    </w:rPr>
  </w:style>
  <w:style w:type="character" w:styleId="14" w:customStyle="1">
    <w:name w:val="Знак сноски1"/>
    <w:qFormat/>
    <w:rPr>
      <w:vertAlign w:val="superscript"/>
    </w:rPr>
  </w:style>
  <w:style w:type="character" w:styleId="15" w:customStyle="1">
    <w:name w:val="Знак концевой сноски1"/>
    <w:qFormat/>
    <w:rPr>
      <w:vertAlign w:val="superscript"/>
    </w:rPr>
  </w:style>
  <w:style w:type="character" w:styleId="23" w:customStyle="1">
    <w:name w:val="Знак сноски2"/>
    <w:qFormat/>
    <w:rPr>
      <w:vertAlign w:val="superscript"/>
    </w:rPr>
  </w:style>
  <w:style w:type="character" w:styleId="24" w:customStyle="1">
    <w:name w:val="Знак концевой сноски2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pytarget" w:customStyle="1">
    <w:name w:val="copy_target"/>
    <w:qFormat/>
    <w:rPr/>
  </w:style>
  <w:style w:type="character" w:styleId="Style19" w:customStyle="1">
    <w:name w:val="комментарий"/>
    <w:qFormat/>
    <w:rPr>
      <w:b/>
      <w:i/>
      <w:shd w:fill="FFFF99" w:val="clear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/>
  </w:style>
  <w:style w:type="paragraph" w:styleId="34" w:customStyle="1">
    <w:name w:val="Заголовок3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35" w:customStyle="1">
    <w:name w:val="Указатель3"/>
    <w:basedOn w:val="Normal"/>
    <w:qFormat/>
    <w:pPr>
      <w:suppressLineNumbers/>
    </w:pPr>
    <w:rPr/>
  </w:style>
  <w:style w:type="paragraph" w:styleId="25" w:customStyle="1">
    <w:name w:val="Заголовок2"/>
    <w:basedOn w:val="Normal"/>
    <w:next w:val="BodyText"/>
    <w:qFormat/>
    <w:pPr>
      <w:widowControl w:val="false"/>
      <w:overflowPunct w:val="false"/>
      <w:spacing w:lineRule="auto" w:line="240" w:before="0" w:after="120"/>
      <w:ind w:hanging="0"/>
      <w:jc w:val="center"/>
      <w:textAlignment w:val="baseline"/>
    </w:pPr>
    <w:rPr>
      <w:b/>
      <w:bCs/>
      <w:sz w:val="32"/>
      <w:szCs w:val="20"/>
    </w:rPr>
  </w:style>
  <w:style w:type="paragraph" w:styleId="36" w:customStyle="1">
    <w:name w:val="Название объекта3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26" w:customStyle="1">
    <w:name w:val="Указатель2"/>
    <w:basedOn w:val="Normal"/>
    <w:qFormat/>
    <w:pPr>
      <w:suppressLineNumbers/>
    </w:pPr>
    <w:rPr/>
  </w:style>
  <w:style w:type="paragraph" w:styleId="16" w:customStyle="1">
    <w:name w:val="Заголовок1"/>
    <w:basedOn w:val="Normal"/>
    <w:next w:val="BodyText"/>
    <w:qFormat/>
    <w:pPr>
      <w:shd w:val="clear" w:color="auto" w:fill="FFFFFF"/>
      <w:spacing w:lineRule="auto" w:line="240"/>
      <w:jc w:val="center"/>
    </w:pPr>
    <w:rPr>
      <w:b/>
      <w:sz w:val="22"/>
      <w:szCs w:val="22"/>
      <w:lang w:val="x-none"/>
    </w:rPr>
  </w:style>
  <w:style w:type="paragraph" w:styleId="27" w:customStyle="1">
    <w:name w:val="Название объекта2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17" w:customStyle="1">
    <w:name w:val="Указатель1"/>
    <w:basedOn w:val="Normal"/>
    <w:qFormat/>
    <w:pPr>
      <w:suppressLineNumbers/>
    </w:pPr>
    <w:rPr/>
  </w:style>
  <w:style w:type="paragraph" w:styleId="311" w:customStyle="1">
    <w:name w:val="Основной текст 31"/>
    <w:basedOn w:val="Normal"/>
    <w:qFormat/>
    <w:pPr>
      <w:spacing w:lineRule="auto" w:line="240"/>
      <w:ind w:hanging="0"/>
    </w:pPr>
    <w:rPr>
      <w:color w:val="0000FF"/>
      <w:sz w:val="24"/>
      <w:szCs w:val="24"/>
      <w:lang w:val="x-none"/>
    </w:rPr>
  </w:style>
  <w:style w:type="paragraph" w:styleId="Style22" w:customStyle="1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/>
    <w:rPr/>
  </w:style>
  <w:style w:type="paragraph" w:styleId="Style110" w:customStyle="1">
    <w:name w:val="Style1"/>
    <w:basedOn w:val="Normal"/>
    <w:qFormat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211" w:customStyle="1">
    <w:name w:val="Основной текст 21"/>
    <w:basedOn w:val="Normal"/>
    <w:qFormat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3" w:customStyle="1">
    <w:name w:val="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/>
    </w:rPr>
  </w:style>
  <w:style w:type="paragraph" w:styleId="FootnoteText">
    <w:name w:val="Footnote Text"/>
    <w:basedOn w:val="Normal"/>
    <w:pPr>
      <w:spacing w:lineRule="auto" w:line="240"/>
      <w:ind w:hanging="0"/>
      <w:jc w:val="left"/>
    </w:pPr>
    <w:rPr>
      <w:sz w:val="20"/>
      <w:szCs w:val="20"/>
    </w:rPr>
  </w:style>
  <w:style w:type="paragraph" w:styleId="Style24" w:customStyle="1">
    <w:name w:val="Знак Знак Знак Знак Знак Знак 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/>
    </w:rPr>
  </w:style>
  <w:style w:type="paragraph" w:styleId="28" w:customStyle="1">
    <w:name w:val="Знак2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/>
    </w:rPr>
  </w:style>
  <w:style w:type="paragraph" w:styleId="Style25" w:customStyle="1">
    <w:name w:val="Знак Знак Знак Знак Знак Знак Знак Знак Знак"/>
    <w:basedOn w:val="Normal"/>
    <w:qFormat/>
    <w:pPr>
      <w:spacing w:lineRule="exact" w:line="240" w:before="0" w:after="160"/>
      <w:ind w:hanging="0"/>
    </w:pPr>
    <w:rPr>
      <w:rFonts w:ascii="Verdana" w:hAnsi="Verdana" w:cs="Verdana"/>
      <w:sz w:val="22"/>
      <w:szCs w:val="20"/>
      <w:lang w:val="en-US"/>
    </w:rPr>
  </w:style>
  <w:style w:type="paragraph" w:styleId="Style26" w:customStyle="1">
    <w:name w:val="Пункт договора"/>
    <w:basedOn w:val="Normal"/>
    <w:qFormat/>
    <w:pPr>
      <w:widowControl w:val="false"/>
      <w:spacing w:lineRule="auto" w:line="240"/>
      <w:ind w:hanging="0"/>
    </w:pPr>
    <w:rPr>
      <w:rFonts w:ascii="Arial" w:hAnsi="Arial" w:cs="Arial"/>
      <w:sz w:val="20"/>
      <w:szCs w:val="20"/>
    </w:rPr>
  </w:style>
  <w:style w:type="paragraph" w:styleId="Style27" w:customStyle="1">
    <w:name w:val="Подпункт договора"/>
    <w:basedOn w:val="Normal"/>
    <w:qFormat/>
    <w:pPr>
      <w:spacing w:lineRule="auto" w:line="240"/>
      <w:ind w:hanging="0"/>
    </w:pPr>
    <w:rPr>
      <w:rFonts w:ascii="Arial" w:hAnsi="Arial" w:cs="Arial"/>
      <w:sz w:val="20"/>
      <w:szCs w:val="20"/>
    </w:rPr>
  </w:style>
  <w:style w:type="paragraph" w:styleId="312" w:customStyle="1">
    <w:name w:val="Основной текст с отступом 31"/>
    <w:basedOn w:val="Normal"/>
    <w:qFormat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qFormat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8" w:customStyle="1">
    <w:name w:val="1. Статья"/>
    <w:basedOn w:val="Heading3"/>
    <w:qFormat/>
    <w:pPr>
      <w:keepNext w:val="false"/>
      <w:widowControl w:val="false"/>
      <w:numPr>
        <w:ilvl w:val="0"/>
        <w:numId w:val="3"/>
      </w:numPr>
      <w:suppressAutoHyphens w:val="false"/>
      <w:overflowPunct w:val="false"/>
      <w:spacing w:before="0" w:after="0"/>
      <w:ind w:left="0" w:right="1462" w:hanging="0"/>
      <w:jc w:val="center"/>
      <w:textAlignment w:val="baseline"/>
      <w:outlineLvl w:val="9"/>
    </w:pPr>
    <w:rPr>
      <w:b w:val="false"/>
      <w:sz w:val="24"/>
      <w:szCs w:val="24"/>
    </w:rPr>
  </w:style>
  <w:style w:type="paragraph" w:styleId="29" w:customStyle="1">
    <w:name w:val="2. Пункт"/>
    <w:basedOn w:val="Heading3"/>
    <w:qFormat/>
    <w:pPr>
      <w:keepNext w:val="false"/>
      <w:widowControl w:val="false"/>
      <w:numPr>
        <w:ilvl w:val="0"/>
        <w:numId w:val="0"/>
      </w:numPr>
      <w:tabs>
        <w:tab w:val="clear" w:pos="709"/>
        <w:tab w:val="left" w:pos="720" w:leader="none"/>
      </w:tabs>
      <w:suppressAutoHyphens w:val="false"/>
      <w:overflowPunct w:val="false"/>
      <w:spacing w:before="0" w:after="0"/>
      <w:ind w:left="720" w:hanging="360"/>
      <w:jc w:val="both"/>
      <w:textAlignment w:val="baseline"/>
      <w:outlineLvl w:val="9"/>
    </w:pPr>
    <w:rPr>
      <w:b w:val="false"/>
      <w:sz w:val="24"/>
      <w:szCs w:val="24"/>
    </w:rPr>
  </w:style>
  <w:style w:type="paragraph" w:styleId="37" w:customStyle="1">
    <w:name w:val="3. Подпункт"/>
    <w:basedOn w:val="Heading3"/>
    <w:qFormat/>
    <w:pPr>
      <w:keepNext w:val="false"/>
      <w:widowControl w:val="false"/>
      <w:numPr>
        <w:ilvl w:val="0"/>
        <w:numId w:val="0"/>
      </w:numPr>
      <w:tabs>
        <w:tab w:val="clear" w:pos="709"/>
        <w:tab w:val="left" w:pos="720" w:leader="none"/>
      </w:tabs>
      <w:suppressAutoHyphens w:val="false"/>
      <w:overflowPunct w:val="false"/>
      <w:spacing w:before="0" w:after="0"/>
      <w:ind w:left="720" w:hanging="360"/>
      <w:jc w:val="both"/>
      <w:textAlignment w:val="baseline"/>
      <w:outlineLvl w:val="9"/>
    </w:pPr>
    <w:rPr>
      <w:bCs/>
      <w:sz w:val="24"/>
      <w:szCs w:val="24"/>
    </w:rPr>
  </w:style>
  <w:style w:type="paragraph" w:styleId="ConsNormal" w:customStyle="1">
    <w:name w:val="ConsNormal"/>
    <w:qFormat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32"/>
      <w:szCs w:val="20"/>
      <w:lang w:val="ru-RU" w:eastAsia="zh-CN" w:bidi="ar-SA"/>
    </w:rPr>
  </w:style>
  <w:style w:type="paragraph" w:styleId="BalloonText">
    <w:name w:val="Balloon Text"/>
    <w:basedOn w:val="Normal"/>
    <w:qFormat/>
    <w:pPr>
      <w:spacing w:lineRule="auto" w:line="240"/>
    </w:pPr>
    <w:rPr>
      <w:rFonts w:ascii="Tahoma" w:hAnsi="Tahoma" w:cs="Tahoma"/>
      <w:sz w:val="16"/>
      <w:szCs w:val="16"/>
      <w:lang w:val="x-none"/>
    </w:rPr>
  </w:style>
  <w:style w:type="paragraph" w:styleId="41" w:customStyle="1">
    <w:name w:val="4. Отчерк"/>
    <w:basedOn w:val="Normal"/>
    <w:qFormat/>
    <w:pPr>
      <w:widowControl w:val="false"/>
      <w:numPr>
        <w:ilvl w:val="0"/>
        <w:numId w:val="4"/>
      </w:numPr>
      <w:spacing w:lineRule="auto" w:line="240"/>
    </w:pPr>
    <w:rPr>
      <w:sz w:val="24"/>
      <w:szCs w:val="24"/>
      <w:lang w:val="x-none"/>
    </w:rPr>
  </w:style>
  <w:style w:type="paragraph" w:styleId="19" w:customStyle="1">
    <w:name w:val="Текст примечания1"/>
    <w:basedOn w:val="Normal"/>
    <w:qFormat/>
    <w:pPr>
      <w:spacing w:lineRule="auto" w:line="240"/>
    </w:pPr>
    <w:rPr>
      <w:sz w:val="20"/>
      <w:szCs w:val="20"/>
      <w:lang w:val="x-none"/>
    </w:rPr>
  </w:style>
  <w:style w:type="paragraph" w:styleId="Annotationsubject">
    <w:name w:val="annotation subject"/>
    <w:basedOn w:val="19"/>
    <w:next w:val="19"/>
    <w:qFormat/>
    <w:pPr/>
    <w:rPr>
      <w:b/>
      <w:bCs/>
    </w:rPr>
  </w:style>
  <w:style w:type="paragraph" w:styleId="Footer">
    <w:name w:val="Footer"/>
    <w:basedOn w:val="Normal"/>
    <w:uiPriority w:val="99"/>
    <w:pPr>
      <w:spacing w:lineRule="auto" w:line="240"/>
    </w:pPr>
    <w:rPr>
      <w:lang w:val="x-none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zh-CN" w:bidi="ar-SA"/>
    </w:rPr>
  </w:style>
  <w:style w:type="paragraph" w:styleId="BodyTextIndent">
    <w:name w:val="Body Text Indent"/>
    <w:basedOn w:val="Normal"/>
    <w:pPr>
      <w:spacing w:before="0" w:after="120"/>
      <w:ind w:left="283" w:firstLine="567"/>
    </w:pPr>
    <w:rPr>
      <w:lang w:val="x-none"/>
    </w:rPr>
  </w:style>
  <w:style w:type="paragraph" w:styleId="333" w:customStyle="1">
    <w:name w:val="Пункт 3.3.3"/>
    <w:basedOn w:val="Normal"/>
    <w:qFormat/>
    <w:pPr>
      <w:keepNext w:val="true"/>
      <w:keepLines/>
      <w:widowControl w:val="false"/>
      <w:overflowPunct w:val="false"/>
      <w:spacing w:lineRule="auto" w:line="240" w:before="240" w:after="240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styleId="110" w:customStyle="1">
    <w:name w:val="Название объекта1"/>
    <w:basedOn w:val="Normal"/>
    <w:next w:val="Normal"/>
    <w:qFormat/>
    <w:pPr>
      <w:widowControl w:val="false"/>
      <w:overflowPunct w:val="false"/>
      <w:spacing w:lineRule="auto" w:line="240" w:before="120" w:after="120"/>
      <w:ind w:hanging="0"/>
      <w:textAlignment w:val="baseline"/>
    </w:pPr>
    <w:rPr>
      <w:b/>
      <w:bCs/>
      <w:sz w:val="24"/>
      <w:szCs w:val="24"/>
    </w:rPr>
  </w:style>
  <w:style w:type="paragraph" w:styleId="111" w:customStyle="1">
    <w:name w:val="Знак1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/>
    </w:rPr>
  </w:style>
  <w:style w:type="paragraph" w:styleId="-" w:customStyle="1">
    <w:name w:val="Контракт-раздел"/>
    <w:basedOn w:val="Normal"/>
    <w:qFormat/>
    <w:pPr>
      <w:keepNext w:val="true"/>
      <w:keepLines/>
      <w:numPr>
        <w:ilvl w:val="0"/>
        <w:numId w:val="2"/>
      </w:numPr>
      <w:spacing w:lineRule="auto" w:line="240" w:before="360" w:after="120"/>
      <w:jc w:val="center"/>
      <w:textAlignment w:val="baseline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pPr>
      <w:tabs>
        <w:tab w:val="clear" w:pos="709"/>
        <w:tab w:val="left" w:pos="3240" w:leader="none"/>
      </w:tabs>
      <w:ind w:left="3240" w:hanging="0"/>
    </w:pPr>
    <w:rPr/>
  </w:style>
  <w:style w:type="paragraph" w:styleId="-2" w:customStyle="1">
    <w:name w:val="Контракт-подпункт"/>
    <w:basedOn w:val="Normal"/>
    <w:qFormat/>
    <w:pPr>
      <w:tabs>
        <w:tab w:val="clear" w:pos="709"/>
        <w:tab w:val="left" w:pos="3240" w:leader="none"/>
      </w:tabs>
      <w:ind w:left="3240" w:hanging="0"/>
    </w:pPr>
    <w:rPr/>
  </w:style>
  <w:style w:type="paragraph" w:styleId="-3" w:customStyle="1">
    <w:name w:val="Контракт-подподпункт"/>
    <w:basedOn w:val="Normal"/>
    <w:qFormat/>
    <w:pPr>
      <w:ind w:left="1418" w:hanging="567"/>
    </w:pPr>
    <w:rPr/>
  </w:style>
  <w:style w:type="paragraph" w:styleId="EndnoteText">
    <w:name w:val="Endnote Text"/>
    <w:basedOn w:val="Normal"/>
    <w:pPr/>
    <w:rPr>
      <w:sz w:val="20"/>
      <w:szCs w:val="20"/>
      <w:lang w:val="x-none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zh-CN" w:bidi="ar-SA"/>
    </w:rPr>
  </w:style>
  <w:style w:type="paragraph" w:styleId="Head141" w:customStyle="1">
    <w:name w:val="Head14"/>
    <w:basedOn w:val="Normal"/>
    <w:qFormat/>
    <w:pPr>
      <w:spacing w:lineRule="auto" w:line="240"/>
      <w:ind w:hanging="0"/>
      <w:jc w:val="center"/>
    </w:pPr>
    <w:rPr>
      <w:rFonts w:eastAsia="Symbol"/>
    </w:rPr>
  </w:style>
  <w:style w:type="paragraph" w:styleId="WW-" w:customStyle="1">
    <w:name w:val="WW-Базовый"/>
    <w:qFormat/>
    <w:pPr>
      <w:widowControl/>
      <w:suppressAutoHyphens w:val="true"/>
      <w:bidi w:val="0"/>
      <w:spacing w:lineRule="auto" w:line="360" w:before="0" w:after="200"/>
      <w:ind w:firstLine="567"/>
      <w:jc w:val="both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zh-CN" w:bidi="ar-SA"/>
    </w:rPr>
  </w:style>
  <w:style w:type="paragraph" w:styleId="Style28" w:customStyle="1">
    <w:name w:val="Таблица текст"/>
    <w:basedOn w:val="Normal"/>
    <w:qFormat/>
    <w:pPr>
      <w:spacing w:lineRule="auto" w:line="240" w:before="40" w:after="40"/>
      <w:ind w:left="57" w:right="57" w:hanging="0"/>
      <w:jc w:val="left"/>
    </w:pPr>
    <w:rPr>
      <w:sz w:val="24"/>
      <w:szCs w:val="24"/>
    </w:rPr>
  </w:style>
  <w:style w:type="paragraph" w:styleId="212" w:customStyle="1">
    <w:name w:val="Основной текст (2)1"/>
    <w:basedOn w:val="Normal"/>
    <w:qFormat/>
    <w:pPr>
      <w:widowControl w:val="false"/>
      <w:shd w:val="clear" w:color="auto" w:fill="FFFFFF"/>
      <w:spacing w:lineRule="exact" w:line="278"/>
      <w:ind w:hanging="0"/>
      <w:jc w:val="left"/>
    </w:pPr>
    <w:rPr>
      <w:b/>
      <w:bCs/>
      <w:sz w:val="22"/>
      <w:szCs w:val="22"/>
    </w:rPr>
  </w:style>
  <w:style w:type="paragraph" w:styleId="112" w:customStyle="1">
    <w:name w:val="Красная строка1"/>
    <w:basedOn w:val="BodyText"/>
    <w:qFormat/>
    <w:pPr>
      <w:spacing w:lineRule="auto" w:line="240"/>
      <w:ind w:firstLine="210"/>
      <w:jc w:val="left"/>
    </w:pPr>
    <w:rPr>
      <w:sz w:val="24"/>
      <w:szCs w:val="24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ru-RU" w:eastAsia="zh-CN" w:bidi="ar-SA"/>
    </w:rPr>
  </w:style>
  <w:style w:type="paragraph" w:styleId="HTMLPreformatted">
    <w:name w:val="HTML Preformatted"/>
    <w:basedOn w:val="Normal"/>
    <w:qFormat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/>
      <w:ind w:hanging="0"/>
      <w:jc w:val="left"/>
    </w:pPr>
    <w:rPr>
      <w:rFonts w:ascii="Courier New" w:hAnsi="Courier New" w:cs="Courier New"/>
      <w:sz w:val="20"/>
      <w:szCs w:val="20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Style29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0" w:customStyle="1">
    <w:name w:val="Заголовок таблицы"/>
    <w:basedOn w:val="Style29"/>
    <w:qFormat/>
    <w:pPr>
      <w:jc w:val="center"/>
    </w:pPr>
    <w:rPr>
      <w:b/>
      <w:bCs/>
    </w:rPr>
  </w:style>
  <w:style w:type="paragraph" w:styleId="113" w:customStyle="1">
    <w:name w:val="Абзац списка1"/>
    <w:basedOn w:val="Normal"/>
    <w:qFormat/>
    <w:pPr>
      <w:spacing w:before="0" w:after="0"/>
      <w:ind w:left="720" w:hanging="0"/>
      <w:contextualSpacing/>
    </w:pPr>
    <w:rPr>
      <w:sz w:val="24"/>
      <w:szCs w:val="24"/>
    </w:rPr>
  </w:style>
  <w:style w:type="paragraph" w:styleId="114" w:customStyle="1">
    <w:name w:val="Обычный1"/>
    <w:qFormat/>
    <w:pPr>
      <w:widowControl/>
      <w:suppressAutoHyphens w:val="true"/>
      <w:bidi w:val="0"/>
      <w:spacing w:lineRule="auto" w:line="360" w:before="0" w:after="200"/>
      <w:ind w:firstLine="567"/>
      <w:jc w:val="both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zh-CN" w:bidi="ar-SA"/>
    </w:rPr>
  </w:style>
  <w:style w:type="paragraph" w:styleId="Style31" w:customStyle="1">
    <w:name w:val="Текст в заданном формате"/>
    <w:basedOn w:val="Normal"/>
    <w:qFormat/>
    <w:pPr/>
    <w:rPr>
      <w:rFonts w:ascii="Liberation Mono" w:hAnsi="Liberation Mono" w:eastAsia="Liberation Mono" w:cs="Liberation Mono"/>
      <w:sz w:val="20"/>
      <w:szCs w:val="20"/>
    </w:rPr>
  </w:style>
  <w:style w:type="paragraph" w:styleId="321" w:customStyle="1">
    <w:name w:val="Основной текст 32"/>
    <w:basedOn w:val="Normal"/>
    <w:qFormat/>
    <w:pPr>
      <w:spacing w:lineRule="auto" w:line="240"/>
      <w:ind w:hanging="0"/>
    </w:pPr>
    <w:rPr>
      <w:color w:val="0000FF"/>
      <w:sz w:val="24"/>
      <w:szCs w:val="24"/>
    </w:rPr>
  </w:style>
  <w:style w:type="paragraph" w:styleId="Style32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33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Application>AlterOffice/3.4.0.9$Linux_X86_64 LibreOffice_project/b8daf9e823b1a5463a2f48435ddc2e8696e7d4fc</Application>
  <AppVersion>15.0000</AppVersion>
  <Pages>15</Pages>
  <Words>4164</Words>
  <Characters>30114</Characters>
  <CharactersWithSpaces>34012</CharactersWithSpaces>
  <Paragraphs>361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2023-11-01T12:26:00Z</dcterms:created>
  <dc:creator>Коношенков Олег Николаевич</dc:creator>
  <dc:description/>
  <dc:language>ru-RU</dc:language>
  <cp:lastModifiedBy>soldatovaan@corp.gidroogk.com</cp:lastModifiedBy>
  <cp:lastPrinted>2018-09-13T10:34:00Z</cp:lastPrinted>
  <dcterms:modified xsi:type="dcterms:W3CDTF">2026-08-31T11:27:49Z</dcterms:modified>
  <cp:revision>147</cp:revision>
  <dc:subject/>
  <dc:title>Проект договора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